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nk-20250930.htm"/>
      <w:bookmarkStart w:id="1" w:name="ksgenk20250930"/>
      <w:bookmarkEnd w:id="0"/>
      <w:bookmarkEnd w:id="1"/>
      <w:r>
        <w:rPr/>
        <w:t> </w:t>
      </w:r>
    </w:p>
    <w:p>
      <w:pPr>
        <w:pStyle w:val="TextBody"/>
        <w:bidi w:val="0"/>
        <w:jc w:val="left"/>
        <w:rPr>
          <w:rFonts w:ascii="Times New Roman" w:hAnsi="Times New Roman"/>
          <w:color w:val="000000"/>
          <w:sz w:val="2"/>
        </w:rPr>
      </w:pPr>
      <w:r>
        <w:rPr>
          <w:rFonts w:ascii="Times New Roman" w:hAnsi="Times New Roman"/>
          <w:color w:val="000000"/>
          <w:sz w:val="2"/>
        </w:rPr>
        <w:t>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001-41727</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GEN Restaurant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782" w:type="dxa"/>
        <w:jc w:val="left"/>
        <w:tblInd w:w="0" w:type="dxa"/>
        <w:tblLayout w:type="fixed"/>
        <w:tblCellMar>
          <w:top w:w="28" w:type="dxa"/>
          <w:left w:w="28" w:type="dxa"/>
          <w:bottom w:w="28" w:type="dxa"/>
          <w:right w:w="28" w:type="dxa"/>
        </w:tblCellMar>
      </w:tblPr>
      <w:tblGrid>
        <w:gridCol w:w="2536"/>
        <w:gridCol w:w="1246"/>
      </w:tblGrid>
      <w:tr>
        <w:trPr/>
        <w:tc>
          <w:tcPr>
            <w:tcW w:w="25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87-3424935</w:t>
            </w:r>
          </w:p>
        </w:tc>
      </w:tr>
      <w:tr>
        <w:trPr/>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5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11480 South Street Suite 205</w:t>
            </w:r>
          </w:p>
          <w:p>
            <w:pPr>
              <w:pStyle w:val="TableContents"/>
              <w:bidi w:val="0"/>
              <w:spacing w:before="0" w:after="283"/>
              <w:jc w:val="center"/>
              <w:rPr>
                <w:rFonts w:ascii="Times New Roman" w:hAnsi="Times New Roman"/>
                <w:sz w:val="20"/>
              </w:rPr>
            </w:pPr>
            <w:r>
              <w:rPr>
                <w:rFonts w:ascii="Times New Roman" w:hAnsi="Times New Roman"/>
                <w:b/>
                <w:color w:val="000000"/>
                <w:sz w:val="20"/>
              </w:rPr>
              <w:t>Cerritos, CA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90703</w:t>
            </w:r>
          </w:p>
        </w:tc>
      </w:tr>
      <w:tr>
        <w:trPr/>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(562)</w:t>
      </w:r>
      <w:r>
        <w:rPr>
          <w:rFonts w:ascii="Times New Roman" w:hAnsi="Times New Roman"/>
          <w:color w:val="000000"/>
          <w:sz w:val="20"/>
        </w:rPr>
        <w:t xml:space="preserve"> </w:t>
      </w:r>
      <w:r>
        <w:rPr>
          <w:rFonts w:ascii="Times New Roman" w:hAnsi="Times New Roman"/>
          <w:b/>
          <w:color w:val="000000"/>
          <w:sz w:val="20"/>
        </w:rPr>
        <w:t>356-9929</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685" w:type="dxa"/>
        <w:jc w:val="left"/>
        <w:tblInd w:w="0" w:type="dxa"/>
        <w:tblLayout w:type="fixed"/>
        <w:tblCellMar>
          <w:top w:w="28" w:type="dxa"/>
          <w:left w:w="28" w:type="dxa"/>
          <w:bottom w:w="28" w:type="dxa"/>
          <w:right w:w="28" w:type="dxa"/>
        </w:tblCellMar>
      </w:tblPr>
      <w:tblGrid>
        <w:gridCol w:w="2251"/>
        <w:gridCol w:w="146"/>
        <w:gridCol w:w="826"/>
        <w:gridCol w:w="146"/>
        <w:gridCol w:w="3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2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Class A Common stock,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GENK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The Nasdaq Stock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November 6, 2025 the registrant had 5,259,566</w:t>
      </w:r>
      <w:r>
        <w:rPr>
          <w:rFonts w:ascii="Times New Roman" w:hAnsi="Times New Roman"/>
          <w:color w:val="000000"/>
          <w:sz w:val="20"/>
        </w:rPr>
        <w:t xml:space="preserve"> </w:t>
      </w:r>
      <w:r>
        <w:rPr>
          <w:rFonts w:ascii="Times New Roman" w:hAnsi="Times New Roman"/>
          <w:color w:val="000000"/>
          <w:sz w:val="18"/>
        </w:rPr>
        <w:t>shares of Class A common stock, $0.001 par value per share, outstanding and 27,682,719</w:t>
      </w:r>
      <w:r>
        <w:rPr>
          <w:rFonts w:ascii="Times New Roman" w:hAnsi="Times New Roman"/>
          <w:color w:val="000000"/>
          <w:sz w:val="20"/>
        </w:rPr>
        <w:t xml:space="preserve"> </w:t>
      </w:r>
      <w:r>
        <w:rPr>
          <w:rFonts w:ascii="Times New Roman" w:hAnsi="Times New Roman"/>
          <w:color w:val="000000"/>
          <w:sz w:val="18"/>
        </w:rPr>
        <w:t>shares of Class B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mbined_income">
              <w:r>
                <w:rPr>
                  <w:rStyle w:val="InternetLink"/>
                  <w:rFonts w:ascii="Times New Roman" w:hAnsi="Times New Roman"/>
                  <w:color w:val="0000FF"/>
                  <w:sz w:val="20"/>
                  <w:u w:val="single"/>
                </w:rPr>
                <w:t>Condensed Consolidated Statements of Comprehensive Income (Loss)</w:t>
              </w:r>
            </w:hyperlink>
            <w:hyperlink w:anchor="condensed_combined_income">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permanent_equity">
              <w:r>
                <w:rPr>
                  <w:rStyle w:val="InternetLink"/>
                  <w:rFonts w:ascii="Times New Roman" w:hAnsi="Times New Roman"/>
                  <w:color w:val="0000FF"/>
                  <w:sz w:val="20"/>
                  <w:u w:val="single"/>
                </w:rPr>
                <w:t>Condensed Consolidated Statements of Changes in Permanent Equity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bined_statements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mbined_financial_statements">
              <w:r>
                <w:rPr>
                  <w:rStyle w:val="InternetLink"/>
                  <w:rFonts w:ascii="Times New Roman" w:hAnsi="Times New Roman"/>
                  <w:color w:val="0000FF"/>
                  <w:sz w:val="20"/>
                  <w:u w:val="single"/>
                </w:rPr>
                <w:t>Notes to Unaudited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2" w:name="part_i_financial_information"/>
      <w:bookmarkEnd w:id="2"/>
      <w:r>
        <w:rPr>
          <w:rFonts w:ascii="Times New Roman" w:hAnsi="Times New Roman"/>
          <w:b/>
          <w:color w:val="000000"/>
          <w:sz w:val="18"/>
        </w:rPr>
        <w:t>PART I—FINANCIAL INFORMATION</w:t>
      </w:r>
    </w:p>
    <w:p>
      <w:pPr>
        <w:pStyle w:val="TextBody"/>
        <w:bidi w:val="0"/>
        <w:jc w:val="left"/>
        <w:rPr>
          <w:rFonts w:ascii="Times New Roman" w:hAnsi="Times New Roman"/>
          <w:b/>
          <w:color w:val="000000"/>
          <w:sz w:val="18"/>
        </w:rPr>
      </w:pPr>
      <w:bookmarkStart w:id="3" w:name="item_1_financial_statements"/>
      <w:bookmarkEnd w:id="3"/>
      <w:r>
        <w:rPr>
          <w:rFonts w:ascii="Times New Roman" w:hAnsi="Times New Roman"/>
          <w:b/>
          <w:color w:val="000000"/>
          <w:sz w:val="18"/>
        </w:rPr>
        <w:t>Item 1. Financial Statements.</w:t>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bookmarkStart w:id="4" w:name="condensed_combined_balance_sheets"/>
      <w:bookmarkEnd w:id="4"/>
      <w:r>
        <w:rPr>
          <w:rFonts w:ascii="Times New Roman" w:hAnsi="Times New Roman"/>
          <w:b/>
          <w:color w:val="231F20"/>
          <w:sz w:val="20"/>
        </w:rPr>
        <w:t>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80"/>
        <w:gridCol w:w="146"/>
        <w:gridCol w:w="222"/>
        <w:gridCol w:w="823"/>
        <w:gridCol w:w="166"/>
        <w:gridCol w:w="146"/>
        <w:gridCol w:w="219"/>
        <w:gridCol w:w="810"/>
        <w:gridCol w:w="593"/>
      </w:tblGrid>
      <w:tr>
        <w:trPr/>
        <w:tc>
          <w:tcPr>
            <w:tcW w:w="7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 and per share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b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131,542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Obligations under finance leases,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Restaurant Revitalization Fund grant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Gift card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Obligations under finance leases,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194,798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Mezzanine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7"/>
              </w:rPr>
              <w:t xml:space="preserve">EB-5 Members’ equity; Redeemable units for 30% of Gen Restaurant Investment, LLC, </w:t>
              <w:br/>
              <w:t>  redemption amount of $1,500</w:t>
            </w:r>
            <w:r>
              <w:rPr>
                <w:rFonts w:ascii="Times New Roman" w:hAnsi="Times New Roman"/>
                <w:color w:val="000000"/>
                <w:sz w:val="20"/>
              </w:rPr>
              <w:t> </w:t>
            </w:r>
            <w:r>
              <w:rPr>
                <w:rFonts w:ascii="Times New Roman" w:hAnsi="Times New Roman"/>
                <w:color w:val="000000"/>
                <w:sz w:val="17"/>
              </w:rPr>
              <w:t>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Permanent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7"/>
              </w:rPr>
              <w:t>Class A common stock, $0.001</w:t>
            </w:r>
            <w:r>
              <w:rPr>
                <w:rFonts w:ascii="Times New Roman" w:hAnsi="Times New Roman"/>
                <w:color w:val="000000"/>
                <w:sz w:val="20"/>
              </w:rPr>
              <w:t> </w:t>
            </w:r>
            <w:r>
              <w:rPr>
                <w:rFonts w:ascii="Times New Roman" w:hAnsi="Times New Roman"/>
                <w:color w:val="000000"/>
                <w:sz w:val="17"/>
              </w:rPr>
              <w:t>par value, 70,000,000</w:t>
            </w:r>
            <w:r>
              <w:rPr>
                <w:rFonts w:ascii="Times New Roman" w:hAnsi="Times New Roman"/>
                <w:color w:val="000000"/>
                <w:sz w:val="20"/>
              </w:rPr>
              <w:t> </w:t>
            </w:r>
            <w:r>
              <w:rPr>
                <w:rFonts w:ascii="Times New Roman" w:hAnsi="Times New Roman"/>
                <w:color w:val="000000"/>
                <w:sz w:val="17"/>
              </w:rPr>
              <w:t>shares authorized, 5,259,566</w:t>
            </w:r>
            <w:r>
              <w:rPr>
                <w:rFonts w:ascii="Times New Roman" w:hAnsi="Times New Roman"/>
                <w:color w:val="000000"/>
                <w:sz w:val="20"/>
              </w:rPr>
              <w:t> </w:t>
            </w:r>
            <w:r>
              <w:rPr>
                <w:rFonts w:ascii="Times New Roman" w:hAnsi="Times New Roman"/>
                <w:color w:val="000000"/>
                <w:sz w:val="17"/>
              </w:rPr>
              <w:t>shares issued</w:t>
              <w:br/>
              <w:t>and outstanding and 4,913,064</w:t>
            </w:r>
            <w:r>
              <w:rPr>
                <w:rFonts w:ascii="Times New Roman" w:hAnsi="Times New Roman"/>
                <w:color w:val="000000"/>
                <w:sz w:val="20"/>
              </w:rPr>
              <w:t> </w:t>
            </w:r>
            <w:r>
              <w:rPr>
                <w:rFonts w:ascii="Times New Roman" w:hAnsi="Times New Roman"/>
                <w:color w:val="000000"/>
                <w:sz w:val="17"/>
              </w:rPr>
              <w:t>shares issued and outstanding as of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7"/>
              </w:rPr>
              <w:t>Class B common stock, $0.001</w:t>
            </w:r>
            <w:r>
              <w:rPr>
                <w:rFonts w:ascii="Times New Roman" w:hAnsi="Times New Roman"/>
                <w:color w:val="000000"/>
                <w:sz w:val="20"/>
              </w:rPr>
              <w:t> </w:t>
            </w:r>
            <w:r>
              <w:rPr>
                <w:rFonts w:ascii="Times New Roman" w:hAnsi="Times New Roman"/>
                <w:color w:val="000000"/>
                <w:sz w:val="17"/>
              </w:rPr>
              <w:t>par value, 50,000,000</w:t>
            </w:r>
            <w:r>
              <w:rPr>
                <w:rFonts w:ascii="Times New Roman" w:hAnsi="Times New Roman"/>
                <w:color w:val="000000"/>
                <w:sz w:val="20"/>
              </w:rPr>
              <w:t> </w:t>
            </w:r>
            <w:r>
              <w:rPr>
                <w:rFonts w:ascii="Times New Roman" w:hAnsi="Times New Roman"/>
                <w:color w:val="000000"/>
                <w:sz w:val="17"/>
              </w:rPr>
              <w:t>shares authorized; 27,682,719</w:t>
            </w:r>
            <w:r>
              <w:rPr>
                <w:rFonts w:ascii="Times New Roman" w:hAnsi="Times New Roman"/>
                <w:color w:val="000000"/>
                <w:sz w:val="20"/>
              </w:rPr>
              <w:t> </w:t>
            </w:r>
            <w:r>
              <w:rPr>
                <w:rFonts w:ascii="Times New Roman" w:hAnsi="Times New Roman"/>
                <w:color w:val="000000"/>
                <w:sz w:val="17"/>
              </w:rPr>
              <w:t>shares issued and outstanding and 27,886,912</w:t>
            </w:r>
            <w:r>
              <w:rPr>
                <w:rFonts w:ascii="Times New Roman" w:hAnsi="Times New Roman"/>
                <w:color w:val="000000"/>
                <w:sz w:val="20"/>
              </w:rPr>
              <w:t> </w:t>
            </w:r>
            <w:r>
              <w:rPr>
                <w:rFonts w:ascii="Times New Roman" w:hAnsi="Times New Roman"/>
                <w:color w:val="000000"/>
                <w:sz w:val="17"/>
              </w:rPr>
              <w:t>shares issued and outstanding as of September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11,782</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Retained Earnings (accumulated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permanent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mezzanine equity, and permanent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240,415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 RESTAURANT GROUP, INC.</w:t>
      </w:r>
    </w:p>
    <w:p>
      <w:pPr>
        <w:pStyle w:val="TextBody"/>
        <w:bidi w:val="0"/>
        <w:jc w:val="center"/>
        <w:rPr>
          <w:rFonts w:ascii="Times New Roman" w:hAnsi="Times New Roman"/>
          <w:b/>
          <w:color w:val="000000"/>
          <w:sz w:val="20"/>
        </w:rPr>
      </w:pPr>
      <w:bookmarkStart w:id="5" w:name="condensed_combined_income"/>
      <w:bookmarkEnd w:id="5"/>
      <w:r>
        <w:rPr>
          <w:rFonts w:ascii="Times New Roman" w:hAnsi="Times New Roman"/>
          <w:b/>
          <w:color w:val="000000"/>
          <w:sz w:val="20"/>
        </w:rPr>
        <w:t>Condensed Consolidated Statements of Comprehensive Income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50"/>
        <w:gridCol w:w="146"/>
        <w:gridCol w:w="240"/>
        <w:gridCol w:w="772"/>
        <w:gridCol w:w="189"/>
        <w:gridCol w:w="166"/>
        <w:gridCol w:w="240"/>
        <w:gridCol w:w="772"/>
        <w:gridCol w:w="146"/>
        <w:gridCol w:w="146"/>
        <w:gridCol w:w="224"/>
        <w:gridCol w:w="831"/>
        <w:gridCol w:w="176"/>
        <w:gridCol w:w="155"/>
        <w:gridCol w:w="224"/>
        <w:gridCol w:w="831"/>
        <w:gridCol w:w="597"/>
      </w:tblGrid>
      <w:tr>
        <w:trPr/>
        <w:tc>
          <w:tcPr>
            <w:tcW w:w="4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153,726</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50,110</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47,491</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136,877</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lease terminations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54,157</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170,591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151,918</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retention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remeasurement of previously held interest (see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 of equity method investee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attributable to Class A common stock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 per share of Class A common stock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income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 w:after="283"/>
        <w:jc w:val="left"/>
        <w:rPr/>
      </w:pPr>
      <w:r>
        <w:rPr/>
        <w:t> </w:t>
      </w:r>
    </w:p>
    <w:p>
      <w:pPr>
        <w:pStyle w:val="TextBody"/>
        <w:bidi w:val="0"/>
        <w:spacing w:before="8" w:after="283"/>
        <w:jc w:val="left"/>
        <w:rPr>
          <w:rFonts w:ascii="Times New Roman" w:hAnsi="Times New Roman"/>
          <w:color w:val="000000"/>
          <w:sz w:val="22"/>
        </w:rPr>
      </w:pPr>
      <w:r>
        <w:rPr>
          <w:rFonts w:ascii="Times New Roman" w:hAnsi="Times New Roman"/>
          <w:color w:val="000000"/>
          <w:sz w:val="22"/>
        </w:rPr>
        <w:t>See Note 15 for calculation of net (loss) income per share.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GEN RESTAURANT GROUP, INC.</w:t>
      </w:r>
    </w:p>
    <w:p>
      <w:pPr>
        <w:pStyle w:val="TextBody"/>
        <w:bidi w:val="0"/>
        <w:jc w:val="center"/>
        <w:rPr>
          <w:rFonts w:ascii="Times New Roman" w:hAnsi="Times New Roman"/>
          <w:b/>
          <w:color w:val="000000"/>
          <w:sz w:val="20"/>
        </w:rPr>
      </w:pPr>
      <w:bookmarkStart w:id="6" w:name="changes_permanent_equity"/>
      <w:bookmarkEnd w:id="6"/>
      <w:r>
        <w:rPr>
          <w:rFonts w:ascii="Times New Roman" w:hAnsi="Times New Roman"/>
          <w:b/>
          <w:color w:val="000000"/>
          <w:sz w:val="20"/>
        </w:rPr>
        <w:t>Condensed Consolidated Statements of Changes in Permanent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Nine months ended September 30, 2025 and September 30, 2024</w:t>
      </w:r>
    </w:p>
    <w:p>
      <w:pPr>
        <w:pStyle w:val="TextBody"/>
        <w:bidi w:val="0"/>
        <w:jc w:val="center"/>
        <w:rPr/>
      </w:pPr>
      <w:r>
        <w:rPr/>
        <w:t> </w:t>
      </w:r>
    </w:p>
    <w:tbl>
      <w:tblPr>
        <w:tblW w:w="11302" w:type="dxa"/>
        <w:jc w:val="left"/>
        <w:tblInd w:w="0" w:type="dxa"/>
        <w:tblLayout w:type="fixed"/>
        <w:tblCellMar>
          <w:top w:w="28" w:type="dxa"/>
          <w:left w:w="28" w:type="dxa"/>
          <w:bottom w:w="28" w:type="dxa"/>
          <w:right w:w="28" w:type="dxa"/>
        </w:tblCellMar>
      </w:tblPr>
      <w:tblGrid>
        <w:gridCol w:w="1316"/>
        <w:gridCol w:w="146"/>
        <w:gridCol w:w="146"/>
        <w:gridCol w:w="826"/>
        <w:gridCol w:w="146"/>
        <w:gridCol w:w="146"/>
        <w:gridCol w:w="375"/>
        <w:gridCol w:w="376"/>
        <w:gridCol w:w="146"/>
        <w:gridCol w:w="146"/>
        <w:gridCol w:w="146"/>
        <w:gridCol w:w="916"/>
        <w:gridCol w:w="166"/>
        <w:gridCol w:w="146"/>
        <w:gridCol w:w="305"/>
        <w:gridCol w:w="446"/>
        <w:gridCol w:w="146"/>
        <w:gridCol w:w="146"/>
        <w:gridCol w:w="228"/>
        <w:gridCol w:w="703"/>
        <w:gridCol w:w="166"/>
        <w:gridCol w:w="146"/>
        <w:gridCol w:w="224"/>
        <w:gridCol w:w="587"/>
        <w:gridCol w:w="146"/>
        <w:gridCol w:w="146"/>
        <w:gridCol w:w="243"/>
        <w:gridCol w:w="748"/>
        <w:gridCol w:w="166"/>
        <w:gridCol w:w="146"/>
        <w:gridCol w:w="284"/>
        <w:gridCol w:w="872"/>
        <w:gridCol w:w="311"/>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w:t>
              <w:b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br/>
              <w:t>Equity/</w:t>
              <w:br/>
              <w:t>Members'</w:t>
              <w:br/>
              <w:t>equity</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for share amounts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28,141,566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Adjustment to tax liabilities and assets under Tax Receivable </w:t>
              <w:br/>
              <w:t>Agreement ("TRA")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upon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non-controlling interest for Class A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March 31, 2024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4,511,958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27,886,912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31,496</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40,362</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Contribution by stockholder in final IPO settlement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June 30, 2024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4,749,551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27,886,912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33,283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45,896</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upon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 to tax liabilities and assets under TRA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September 30, 2024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4,913,064</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27,886,912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46,468</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See Note 12 - Tax Receivable Agreement, for more information.</w:t>
      </w:r>
    </w:p>
    <w:p>
      <w:pPr>
        <w:pStyle w:val="TextBody"/>
        <w:bidi w:val="0"/>
        <w:jc w:val="center"/>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985" w:type="dxa"/>
        <w:jc w:val="left"/>
        <w:tblInd w:w="0" w:type="dxa"/>
        <w:tblLayout w:type="fixed"/>
        <w:tblCellMar>
          <w:top w:w="28" w:type="dxa"/>
          <w:left w:w="28" w:type="dxa"/>
          <w:bottom w:w="28" w:type="dxa"/>
          <w:right w:w="28" w:type="dxa"/>
        </w:tblCellMar>
      </w:tblPr>
      <w:tblGrid>
        <w:gridCol w:w="1361"/>
        <w:gridCol w:w="146"/>
        <w:gridCol w:w="146"/>
        <w:gridCol w:w="826"/>
        <w:gridCol w:w="146"/>
        <w:gridCol w:w="146"/>
        <w:gridCol w:w="271"/>
        <w:gridCol w:w="480"/>
        <w:gridCol w:w="146"/>
        <w:gridCol w:w="146"/>
        <w:gridCol w:w="146"/>
        <w:gridCol w:w="916"/>
        <w:gridCol w:w="166"/>
        <w:gridCol w:w="146"/>
        <w:gridCol w:w="271"/>
        <w:gridCol w:w="480"/>
        <w:gridCol w:w="146"/>
        <w:gridCol w:w="146"/>
        <w:gridCol w:w="228"/>
        <w:gridCol w:w="703"/>
        <w:gridCol w:w="166"/>
        <w:gridCol w:w="146"/>
        <w:gridCol w:w="447"/>
        <w:gridCol w:w="859"/>
        <w:gridCol w:w="166"/>
        <w:gridCol w:w="146"/>
        <w:gridCol w:w="250"/>
        <w:gridCol w:w="561"/>
        <w:gridCol w:w="166"/>
        <w:gridCol w:w="146"/>
        <w:gridCol w:w="243"/>
        <w:gridCol w:w="748"/>
        <w:gridCol w:w="166"/>
        <w:gridCol w:w="146"/>
        <w:gridCol w:w="284"/>
        <w:gridCol w:w="872"/>
        <w:gridCol w:w="311"/>
      </w:tblGrid>
      <w:tr>
        <w:trPr/>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br/>
              <w:t>Gain (Loss)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w:t>
              <w:br/>
              <w:t>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br/>
              <w:t>Equity/</w:t>
              <w:br/>
              <w:t>Members'</w:t>
              <w:br/>
              <w:t>equity</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for share amounts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Interest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27,886,912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 to tax liabilities and assets under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non-controlling interest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 of Class A common stock under stock repurchase plan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March 31,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5,038,461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27,761,515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29,582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42,793</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 to tax liabilities and assets under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Exchange of non-controlling interest for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paid $0.03</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Distributions paid to Non-controlling interest - $0.03</w:t>
            </w:r>
            <w:r>
              <w:rPr>
                <w:rFonts w:ascii="Times New Roman" w:hAnsi="Times New Roman"/>
                <w:color w:val="000000"/>
                <w:sz w:val="20"/>
              </w:rPr>
              <w:t> </w:t>
            </w:r>
            <w:r>
              <w:rPr>
                <w:rFonts w:ascii="Times New Roman" w:hAnsi="Times New Roman"/>
                <w:color w:val="000000"/>
                <w:sz w:val="18"/>
              </w:rPr>
              <w:t>per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June 30,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5,211,051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27,682,719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41,027</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issued upon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 to tax liabilities and assets under TRA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September 30,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5,259,566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27,682,719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14,023</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38,087</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231F20"/>
          <w:sz w:val="20"/>
        </w:rPr>
      </w:pPr>
      <w:r>
        <w:rPr>
          <w:rFonts w:ascii="Times New Roman" w:hAnsi="Times New Roman"/>
          <w:color w:val="231F20"/>
          <w:sz w:val="20"/>
        </w:rPr>
        <w:t>GEN RESTAURANT GROUP, INC.</w:t>
      </w:r>
    </w:p>
    <w:p>
      <w:pPr>
        <w:pStyle w:val="TextBody"/>
        <w:bidi w:val="0"/>
        <w:jc w:val="center"/>
        <w:rPr>
          <w:rFonts w:ascii="Times New Roman" w:hAnsi="Times New Roman"/>
          <w:b/>
          <w:color w:val="231F20"/>
          <w:sz w:val="20"/>
        </w:rPr>
      </w:pPr>
      <w:bookmarkStart w:id="7" w:name="combined_statements_cash_flows"/>
      <w:bookmarkEnd w:id="7"/>
      <w:r>
        <w:rPr>
          <w:rFonts w:ascii="Times New Roman" w:hAnsi="Times New Roman"/>
          <w:b/>
          <w:color w:val="231F20"/>
          <w:sz w:val="20"/>
        </w:rPr>
        <w:t>Condensed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93"/>
        <w:gridCol w:w="146"/>
        <w:gridCol w:w="249"/>
        <w:gridCol w:w="840"/>
        <w:gridCol w:w="210"/>
        <w:gridCol w:w="185"/>
        <w:gridCol w:w="249"/>
        <w:gridCol w:w="840"/>
        <w:gridCol w:w="1393"/>
      </w:tblGrid>
      <w:tr>
        <w:trPr/>
        <w:tc>
          <w:tcPr>
            <w:tcW w:w="6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(unaudited)</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(7,289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5,929</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(loss) income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5,027</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Equity in income of equity method investee, net of 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Gain on remeasurement of previously held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(3,402</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Amortization of 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5,020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5,415</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Gain on lease terminations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Interest income earned on Notes receivable from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Deferred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(1,145</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(993</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(1,439</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(334</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1,034</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Accrued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(1,031</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Gift card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(3,584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1,304</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(413</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(1,610</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Income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3,840</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10,519</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(16,682</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Acquisition of GKBH,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(5,976</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(22,523</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(22,658</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to members for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for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on EIDL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on third party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 on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Proceeds from third party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6,000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Payments under stock repurchase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Distributions paid on NCI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7"/>
              </w:rPr>
            </w:pPr>
            <w:r>
              <w:rPr>
                <w:rFonts w:ascii="Times New Roman" w:hAnsi="Times New Roman"/>
                <w:color w:val="000000"/>
                <w:sz w:val="17"/>
              </w:rPr>
              <w:t>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17"/>
              </w:rPr>
            </w:pPr>
            <w:r>
              <w:rPr>
                <w:rFonts w:ascii="Times New Roman" w:hAnsi="Times New Roman"/>
                <w:color w:val="000000"/>
                <w:sz w:val="17"/>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1,561</w:t>
            </w:r>
          </w:p>
        </w:tc>
        <w:tc>
          <w:tcPr>
            <w:tcW w:w="1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Effects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(18,882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(10,578</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23,675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32,631</w:t>
            </w:r>
          </w:p>
        </w:tc>
        <w:tc>
          <w:tcPr>
            <w:tcW w:w="1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4,793</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22,053</w:t>
            </w:r>
          </w:p>
        </w:tc>
        <w:tc>
          <w:tcPr>
            <w:tcW w:w="1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disclosures of other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1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Reduction in accounts payable and accruals for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2,747</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Leased assets obtained in exchange for new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14,250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30,698</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7"/>
              </w:rPr>
              <w:t>Reduction due to early lease termination of operating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Conversion of related party loans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1,436</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Issuance of promissory note for business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tax liabilities and assets under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w:t>
            </w:r>
          </w:p>
        </w:tc>
        <w:tc>
          <w:tcPr>
            <w:tcW w:w="1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0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Exchange of NCI for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258</w:t>
            </w:r>
          </w:p>
        </w:tc>
        <w:tc>
          <w:tcPr>
            <w:tcW w:w="1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Contribution by stockholder in final IPO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1,275</w:t>
            </w:r>
          </w:p>
        </w:tc>
        <w:tc>
          <w:tcPr>
            <w:tcW w:w="1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bookmarkStart w:id="8" w:name="notes_combined_financial_statements"/>
      <w:bookmarkEnd w:id="8"/>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Organization and Description of Business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represent the consolidated balance sheets, statements of comprehensive income (loss), changes in permanent equity (deficit), and cash flows of GEN Restaurant Group, Inc. and its consolidated subsidiaries (the “Company”), including GEN Restaurant Companies, LLC (the “Operating Company”).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The following table lists the Company’s restaurants in operation as of September 30, 2025:</w:t>
      </w:r>
    </w:p>
    <w:p>
      <w:pPr>
        <w:pStyle w:val="TextBody"/>
        <w:bidi w:val="0"/>
        <w:jc w:val="left"/>
        <w:rPr/>
      </w:pPr>
      <w:r>
        <w:rPr/>
        <w:t> </w:t>
      </w:r>
    </w:p>
    <w:tbl>
      <w:tblPr>
        <w:tblW w:w="6397" w:type="dxa"/>
        <w:jc w:val="left"/>
        <w:tblInd w:w="0" w:type="dxa"/>
        <w:tblLayout w:type="fixed"/>
        <w:tblCellMar>
          <w:top w:w="28" w:type="dxa"/>
          <w:left w:w="28" w:type="dxa"/>
          <w:bottom w:w="28" w:type="dxa"/>
          <w:right w:w="28" w:type="dxa"/>
        </w:tblCellMar>
      </w:tblPr>
      <w:tblGrid>
        <w:gridCol w:w="2671"/>
        <w:gridCol w:w="146"/>
        <w:gridCol w:w="1891"/>
        <w:gridCol w:w="146"/>
        <w:gridCol w:w="526"/>
        <w:gridCol w:w="146"/>
        <w:gridCol w:w="87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Operating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Purpose</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Restaurant Group,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Tustin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Huntington Beach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Oxnard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JC Group International Inc. (S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 Covina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Corona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Restaurant Investment,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Glendale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California,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Fullerton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Mira Mesa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Arizona,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Tempe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Chandler,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Chandler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Nevada,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Sahara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Miracle Mile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Alhambra,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Alhambra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Arlington,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Arlington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 II,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Cerritos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Torrance,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Torrance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Rancho Cucamonga,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Rancho Cucamonga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Jose,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Jose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Northridge,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Northridge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Chino Hills,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Chino Hills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Carrollton,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Carrollton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Fort Lauderdale,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Fort Lauderdale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Fremont,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Fremont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Concord,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Concord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Webster,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Webster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Westgate,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Westgate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Westheimer,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Westheimer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Manhattan NYU,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Manhattan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Maui,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Maui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Mountain View,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Mountain View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GKBH Restaurant,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Korean BBQ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Sacramento,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Sacramento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Pearlridge,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Pearlridge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Kapolei,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Kapolei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El Paso,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El Paso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Frisco,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Frisco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Houston,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Houston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Seattle,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Seattle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Jacksonville,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Jacksonville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Dallas,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Dallas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Waco,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Waco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Pflugerville,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Pflugerville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Tigard,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Tigard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Orlando,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Orlando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Edison,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Edison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Antonio,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Antonio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Austin,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Austin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Kan Sushi Austin,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Kan Sushi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Cary ,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Cary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San Diego,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La Jolla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Sadang,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Sadang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Ilsan,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Ilsan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Incheon Guwol,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Kan Guwol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Guwol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Wiyre,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Wirye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Kan Wiyre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Restaurant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the following entities:</w:t>
      </w:r>
    </w:p>
    <w:p>
      <w:pPr>
        <w:pStyle w:val="TextBody"/>
        <w:bidi w:val="0"/>
        <w:jc w:val="left"/>
        <w:rPr/>
      </w:pPr>
      <w:r>
        <w:rPr/>
        <w:t> </w:t>
      </w:r>
    </w:p>
    <w:tbl>
      <w:tblPr>
        <w:tblW w:w="8692" w:type="dxa"/>
        <w:jc w:val="left"/>
        <w:tblInd w:w="0" w:type="dxa"/>
        <w:tblLayout w:type="fixed"/>
        <w:tblCellMar>
          <w:top w:w="28" w:type="dxa"/>
          <w:left w:w="28" w:type="dxa"/>
          <w:bottom w:w="28" w:type="dxa"/>
          <w:right w:w="28" w:type="dxa"/>
        </w:tblCellMar>
      </w:tblPr>
      <w:tblGrid>
        <w:gridCol w:w="2581"/>
        <w:gridCol w:w="146"/>
        <w:gridCol w:w="1591"/>
        <w:gridCol w:w="146"/>
        <w:gridCol w:w="526"/>
        <w:gridCol w:w="146"/>
        <w:gridCol w:w="355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Operating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Purpose</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Hawaii,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Investment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 of GKBH</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Texas,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Investment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 of GEN Houston and GEN Webster</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Master,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Holding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Korea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 of South Korean Restaurant</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Restaurant Management,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Management</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Online,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GEN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Website sales</w:t>
            </w:r>
          </w:p>
        </w:tc>
      </w:tr>
    </w:tbl>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Company operates restaurants which are located in California, Arizona, Florida, Hawaii, Nevada, Washington, New York, Texas, New Jersey, Oregon, North Carolina, and in the country of South Korea, specializing in a variety of special flavored meats for Korean barbeque.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the above entities are collectively owned 100% by the controlling group. The Company had an equity method investment through GEN Hawaii, with a 50% ownership share of GKBH Restaurant, LLC (“GKBH”). On February 18, 2024, the Company purchased the other 50% of GKBH for a total purchase price of $6.0 million and the Company now controls 100% of GKBH. As of September 30, 2025 and December 31, 2024, there were 57 and 43 restaurants in operation, respectively.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 Restaurant Group, Inc. (“GEN Inc.”) was formed as a Delaware corporation on October 28, 2021 and is based in Cerritos, California. As the managing member of the Operating Company, GEN Inc. operates and controls all the business and affairs of the Operating Company, and through the Operating Company and its consolidated subsidiaries, conducts its business. Unless the context otherwise requires, references to the “Company” refer to GEN Inc., and its consolidated subsidiaries, including the Operating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30, 2023, the Company completed an initial public offering (the “IPO”) of 4,140,000 shares of Class A common stock at $12.00 per share that generated aggregate net proceeds of $46.2 million.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 and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the Company, collectively, have been prepared in accordance with accounting principles generally accepted in the United States of America (“GAAP”) and applicable rules and regulations of the Securities and Exchange Commission (“SEC”) regarding interim financial reporting. Certain information and note disclosures normally included in the financial statements prepared in accordance with GAAP have been condensed or omitted pursuant to such rules and regulations. As such, these unaudited condensed consolidated financial statements should be read in conjunction with the audited consolidated financial statements and accompanying notes included in the Company’s Annual Report on Form 10-K for the year ended December 31, 2024 (the “Annual Report”). These unaudited condensed consolidated financial statements were prepared on the same basis as the audited consolidated financial statements, and, in the opinion of management, reflect all adjustments (all of which were considered of a normal recurring nature) considered necessary to present fairly the Company’s financial results. The results for the three and nine months ended September 30, 2025 are not necessarily indicative of the results to be expected for the fiscal year ending December 31, 2025 and for any other interim period or future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In November 2023, the Financial Accounting Standards Board (“FASB”) issued Accounting Standards Update (“ASU”) 2023-07, “</w:t>
      </w:r>
      <w:r>
        <w:rPr>
          <w:rFonts w:ascii="Times New Roman" w:hAnsi="Times New Roman"/>
          <w:i/>
          <w:color w:val="000000"/>
          <w:sz w:val="20"/>
        </w:rPr>
        <w:t>Segment Reporting (Topic 820): Improvements to Reportable Segment Disclosures</w:t>
      </w:r>
      <w:r>
        <w:rPr>
          <w:rFonts w:ascii="Times New Roman" w:hAnsi="Times New Roman"/>
          <w:color w:val="000000"/>
          <w:sz w:val="20"/>
        </w:rPr>
        <w:t xml:space="preserve">” which provides guidance to improve reportable segment disclosure requirements, primarily through enhanced disclosures about significant segment expenses. The guidance is effective for fiscal years beginning after December 15, 2023. The Company adopted this ASU in the fourth quarter of 2024, and there was no material impact on the consolidated financial statements.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and in January 2025, the FASB issued ASU 2025-01, “Income Statement - Reporting Comprehensive Income - Expense Disaggregation Disclosures”, which requires public companies to include additional disclosure of the nature of expenses included in the income statement as well as disclosures about specific type of expense included in the expense captions presented in the income statement. ASU 2024-03, as clarified by ASU 2025-01, is effective for fiscal years beginning after December 15, 2026. The Company is in the process of evaluating the impact that the adoption of these ASUs will have on the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is effective for fiscal years beginning after December 15, 2024. The Company is currently evaluating the presentation effect that ASU 2023-09 will have on the consolidated financial statements and expects the update to result in additional disclosures in the Annual Report on the Form 10-K for the year ending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GAAP requires the Company to make estimates and assumptions that affect the reported amounts of assets and liabilities in the accompanying unaudited condensed consolidated financial statements of the Company. The accompanying condensed consolidated financial statements have been prepared in conformity with GAAP and applicable rules, and regulations of the SEC regarding interim financial reporting. Certain information and note disclosures normally included in the financial statements prepared in accordance with GAAP have been condensed or omitted pursuant to such rules and regulations. As such, these unaudited condensed consolidated financial statements should be read in conjunction with the audited consolidated financial statements and accompanying notes included in the Annual Report.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calculated under Accounting Standards Codification (“ASC”) 805-30-30, which represents the excess of the fair value of purchase consideration of an acquired business over the fair value of the identifiable net assets acquired. Goodwill is not amortized but is tested for impairment at a reporting unit level on an annual basis, or more frequently if circumstances change or an event occurs that would more likely than not reduce the fair value of a reporting unit below its carrying amount.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business combinations under the acquisition method of accounting in accordance with ASC Topic 805, “Business Combinations” (“ASC 805”). Under the acquisition method, we recognize 100% of the assets we acquire and liabilities we assume, regardless of the percentage we own, at their estimated fair values as of the date of acquisitions. Any excess of the purchase price over the fair value of the net assets and other identifiable intangible assets we acquire is recorded as goodwill. The assets we acquire, and liabilities we assume from contingencies, are recognized at fair value if we can readily determine the fair value during the measurement period. The operating results of the business the Company acquired are included in the consolidated statements of operations from the date of acquisition.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accounts for grants of equity awards to employees in accordance with ASC Topic 718, “</w:t>
      </w:r>
      <w:r>
        <w:rPr>
          <w:rFonts w:ascii="Times New Roman" w:hAnsi="Times New Roman"/>
          <w:i/>
          <w:color w:val="000000"/>
          <w:sz w:val="20"/>
        </w:rPr>
        <w:t xml:space="preserve">Stock Based Compensation” </w:t>
      </w:r>
      <w:r>
        <w:rPr>
          <w:rFonts w:ascii="Times New Roman" w:hAnsi="Times New Roman"/>
          <w:color w:val="000000"/>
          <w:sz w:val="20"/>
        </w:rPr>
        <w:t>The Company issued restricted stock units to its employees in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estimates the fair value of the restricted stock units on the grant-date and recognizes the resulting fair value over the requisite service period. The fair value of each restricted stock unit or award is determined based upon the value of the common stock granted. The Company has elected to treat stock-based awards with graded vesting schedules and time-based service conditions as a single award and recognizes stock-based compensation on a straight-line basis over the requisite service period. Forfeitures are accounted for as they occur.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its related entities consider all highly liquid instruments with a maturity of three months or less when purchased to be cash equivalents. As of each of September 30, 2025 and December 31, 2024, cash and cash equivalents consist principally of cash, money market accounts and short-term investments. Short-term investments are classified as available for sale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which are carried at fair value, with changes in fair value reported in earnings. Cash equivalents also include credit card transactions in transit.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and December 31, 2024, there were deposits in excess of federally insured amounts of $3.1 million and $2.9 million,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39"/>
        <w:gridCol w:w="146"/>
        <w:gridCol w:w="307"/>
        <w:gridCol w:w="986"/>
        <w:gridCol w:w="146"/>
        <w:gridCol w:w="146"/>
        <w:gridCol w:w="239"/>
        <w:gridCol w:w="647"/>
        <w:gridCol w:w="146"/>
        <w:gridCol w:w="146"/>
        <w:gridCol w:w="335"/>
        <w:gridCol w:w="551"/>
        <w:gridCol w:w="146"/>
        <w:gridCol w:w="146"/>
        <w:gridCol w:w="211"/>
        <w:gridCol w:w="676"/>
        <w:gridCol w:w="192"/>
      </w:tblGrid>
      <w:tr>
        <w:trPr/>
        <w:tc>
          <w:tcPr>
            <w:tcW w:w="5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at September 30, 2025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34"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 money market accounts. Excludes $2.2 million of cash and cash equivalents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at December 31, 2024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Value/Amortized</w:t>
              <w:br/>
              <w:t>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20,776</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34"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 money market accounts. Excludes $2.9 million of cash and cash equivalents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 Concentration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third parties for specified food products and supplies. In instances where these parties fail to perform their obligation, the Company may be unable to find alternative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relies on Sysco Los Angeles, Inc. (“Sysco”), an unrelated third-party, for a significant portion of its food products. During the fourth quarter of 2023, the Company entered into an agreement with Sysco to purchase certain food supplies. For the three and nine months ended September 30, 2025 Sysco accounted for approximately 57.5% and 58.9% of total food costs, respectively. For the three and nine months ended September 30, 2024 Sysco accounted for approximately 68.4% and 68.9% of total food costs,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utilized Pacific Global Distribution, Inc. (“PGD”) during 2024 for restaurant supplies such as tableware, napkins, soda, and sauces. For the three and nine months ended September 30, 2024, PGC accounted for approximately 3.4% and 4.4% of total operating expenses, respectively. The Company has not made any purchases from PGD in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September 30, 2025, and 2024, two third party vendors accounted for 25.3% and 20.6% of total food costs and supplies, respectively. During the nine months ended September 30, 2025, and 2024, two third party vendors accounted for 31.8% and 15.1% of total food costs and supplies,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(i)</w:t>
      </w:r>
      <w:r>
        <w:rPr>
          <w:rFonts w:ascii="Times New Roman" w:hAnsi="Times New Roman"/>
          <w:color w:val="000000"/>
          <w:sz w:val="20"/>
        </w:rPr>
        <w:t xml:space="preserve"> </w:t>
      </w:r>
      <w:r>
        <w:rPr>
          <w:rFonts w:ascii="Times New Roman" w:hAnsi="Times New Roman"/>
          <w:b/>
          <w:i/>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principally of food and beverages and are valued at the lower of cost or net realizable value. Cost is determined using the first-in, first-out method (FIFO) for all inventories.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(j)</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in accordance with ASC 606, “Revenue from Contracts with Customers.” Revenue from the operation of the restaurants is recognized as food and beverage products are delivered to customers and payment is tendered at the time of sale.</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tax amounts collected from customers are remitted to governmental authorities and are excluded from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started selling gift cards primarily during the fourth quarter of 2024. The Company sells gift cards which do not expire. Gift cards balances are initially recorded as unearned income. Revenue from gift cards is recognized when gift cards are redeemed by the guest or, in the event a gift card is not expected to be redeemed, in proportion to actual redemptions of gift cards (“gift card breakage”). Gift card breakage income is included in revenue on the condensed consolidated statements of comprehensive income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stated at cost and are depreciated using the straight-line method over the estimated useful lives of the assets. Property and equipment under finance leases are stated at the present value of minimum lease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useful service lives are as follows:</w:t>
      </w:r>
    </w:p>
    <w:p>
      <w:pPr>
        <w:pStyle w:val="TextBody"/>
        <w:bidi w:val="0"/>
        <w:jc w:val="left"/>
        <w:rPr/>
      </w:pPr>
      <w:r>
        <w:rPr/>
        <w:t> </w:t>
      </w:r>
    </w:p>
    <w:tbl>
      <w:tblPr>
        <w:tblW w:w="6043" w:type="dxa"/>
        <w:jc w:val="left"/>
        <w:tblInd w:w="0" w:type="dxa"/>
        <w:tblLayout w:type="fixed"/>
        <w:tblCellMar>
          <w:top w:w="28" w:type="dxa"/>
          <w:left w:w="28" w:type="dxa"/>
          <w:bottom w:w="28" w:type="dxa"/>
          <w:right w:w="28" w:type="dxa"/>
        </w:tblCellMar>
      </w:tblPr>
      <w:tblGrid>
        <w:gridCol w:w="2161"/>
        <w:gridCol w:w="146"/>
        <w:gridCol w:w="373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5 - 7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5 - 7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Shorter of useful life or remaining lease term</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its related entities capitalize certain costs in conjunction with improvements to specific sites for planned future restaurants. The Company and its related entities also capitalize certain costs, including interest, in conjunction with constructing new restaurants. These costs are included in property and equipment and are amortized over the shorter of the life of the related leasehold improvements or the remaining lease term. The Company and its related entities did not capitalize any internal costs related to site preparation and construction activities during the nine months ended September 30, 2025 and September 30, 2024 as any amounts were deemed immaterial.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Assets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assets as of September 30, 2025 and December 31, 2024 consist of the following:</w:t>
      </w:r>
    </w:p>
    <w:p>
      <w:pPr>
        <w:pStyle w:val="TextBody"/>
        <w:bidi w:val="0"/>
        <w:jc w:val="left"/>
        <w:rPr/>
      </w:pPr>
      <w:r>
        <w:rPr/>
        <w:t> </w:t>
      </w:r>
    </w:p>
    <w:tbl>
      <w:tblPr>
        <w:tblW w:w="4545" w:type="dxa"/>
        <w:jc w:val="left"/>
        <w:tblInd w:w="0" w:type="dxa"/>
        <w:tblLayout w:type="fixed"/>
        <w:tblCellMar>
          <w:top w:w="28" w:type="dxa"/>
          <w:left w:w="28" w:type="dxa"/>
          <w:bottom w:w="28" w:type="dxa"/>
          <w:right w:w="28" w:type="dxa"/>
        </w:tblCellMar>
      </w:tblPr>
      <w:tblGrid>
        <w:gridCol w:w="1681"/>
        <w:gridCol w:w="146"/>
        <w:gridCol w:w="307"/>
        <w:gridCol w:w="833"/>
        <w:gridCol w:w="146"/>
        <w:gridCol w:w="146"/>
        <w:gridCol w:w="294"/>
        <w:gridCol w:w="80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Liquor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Current Liabilities as of September 30, 2025 and December 31, 2024 consist of the following:</w:t>
      </w:r>
    </w:p>
    <w:p>
      <w:pPr>
        <w:pStyle w:val="TextBody"/>
        <w:bidi w:val="0"/>
        <w:spacing w:before="3" w:after="283"/>
        <w:jc w:val="left"/>
        <w:rPr/>
      </w:pPr>
      <w:r>
        <w:rPr/>
        <w:t> </w:t>
      </w:r>
    </w:p>
    <w:tbl>
      <w:tblPr>
        <w:tblW w:w="5625" w:type="dxa"/>
        <w:jc w:val="left"/>
        <w:tblInd w:w="0" w:type="dxa"/>
        <w:tblLayout w:type="fixed"/>
        <w:tblCellMar>
          <w:top w:w="28" w:type="dxa"/>
          <w:left w:w="28" w:type="dxa"/>
          <w:bottom w:w="28" w:type="dxa"/>
          <w:right w:w="28" w:type="dxa"/>
        </w:tblCellMar>
      </w:tblPr>
      <w:tblGrid>
        <w:gridCol w:w="2761"/>
        <w:gridCol w:w="146"/>
        <w:gridCol w:w="307"/>
        <w:gridCol w:w="833"/>
        <w:gridCol w:w="146"/>
        <w:gridCol w:w="146"/>
        <w:gridCol w:w="294"/>
        <w:gridCol w:w="801"/>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percentage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(m)</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Advances from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Advances from members of the Operating Company (the “Members”) consist of funding received from the Members. During the first quarter of 2024, the Company re-paid Members $864 thousand. As of September 30, 2025, and December 31, 2024, the Company did not owe any balance related to these advances from the Members.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Pre-Opening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Pre-opening costs, incurred in connection with the opening of new restaurants, are recorded as expenses when the costs are incurred. Pre-opening costs for the three months ended September 30, 2025 and 2024 were $2.3 million and $1.8 million, respectively. Pre-opening costs for the nine months ended September 30, 2025 and 2024 were $7.0 million and $5.4 million,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IPO, the Company and its related entities were organized as limited liability companies or limited partnerships and are treated as pass-through entities for federal and state income tax purposes. As the Operating Company and its related entities (other than GEN Inc.) have elected to be treated as partnerships for income tax purposes and are not subject to federal or state income taxes, income or loss is included in the tax returns of the members or the partners of the Operating Company and its related entities based on their respective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tax assets are recognized for the future tax consequences attributable to differences between the financial statement carrying amounts of existing assets and their respective tax bases and operating loss and tax credit carryforwards. Deferred tax assets are measured using enacted tax rates expected to apply to taxable income in the years in which those temporary differences are expected to be recovered or settled. The effect on deferred tax assets of a change in tax rates is recognized in income in the period that includes the enactment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positions taken or expected to be taken in a tax return in accordance with existing accounting guidance on income taxes which prescribes a recognition threshold and measurement process. Under GAAP,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Interest and penalties on tax liabilities, if any, would be recorded in the interest expense and other non-interest expense line items, respectively.</w:t>
      </w:r>
    </w:p>
    <w:p>
      <w:pPr>
        <w:pStyle w:val="TextBody"/>
        <w:bidi w:val="0"/>
        <w:spacing w:before="240" w:after="283"/>
        <w:jc w:val="left"/>
        <w:rPr>
          <w:rFonts w:ascii="Times New Roman" w:hAnsi="Times New Roman"/>
          <w:sz w:val="20"/>
        </w:rPr>
      </w:pPr>
      <w:r>
        <w:rPr>
          <w:rFonts w:ascii="Times New Roman" w:hAnsi="Times New Roman"/>
          <w:color w:val="000000"/>
          <w:sz w:val="20"/>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r>
        <w:rPr>
          <w:rFonts w:ascii="Times New Roman" w:hAnsi="Times New Roman"/>
          <w:color w:val="FF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such as property and equipment owned, are reviewed quarterly for impairment and whenever events or changes in circumstances indicate that the carrying amount of an asset may not be recoverable. If circumstances require a long- lived asset or asset group to be tested for possible impairment, undiscounted cash flows expected to be generated by that asset or asset group are compared to its carrying amount. If the carrying amount of the long-lived asset or asset group is not expected to be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 We assessed our long-lived assets for potential impairment with the result that no impairment charges were recorded in any of the periods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reconciliation of total interest cost to interest income (expense), net as reported in the condensed consolidated statements of comprehensive income (loss) for the three and nine months ended September 30, 2025 and 2024 is as follows:</w:t>
      </w:r>
    </w:p>
    <w:p>
      <w:pPr>
        <w:pStyle w:val="TextBody"/>
        <w:bidi w:val="0"/>
        <w:jc w:val="left"/>
        <w:rPr/>
      </w:pPr>
      <w:r>
        <w:rPr/>
        <w:t> </w:t>
      </w:r>
    </w:p>
    <w:tbl>
      <w:tblPr>
        <w:tblW w:w="9261" w:type="dxa"/>
        <w:jc w:val="left"/>
        <w:tblInd w:w="0" w:type="dxa"/>
        <w:tblLayout w:type="fixed"/>
        <w:tblCellMar>
          <w:top w:w="28" w:type="dxa"/>
          <w:left w:w="28" w:type="dxa"/>
          <w:bottom w:w="28" w:type="dxa"/>
          <w:right w:w="28" w:type="dxa"/>
        </w:tblCellMar>
      </w:tblPr>
      <w:tblGrid>
        <w:gridCol w:w="2936"/>
        <w:gridCol w:w="146"/>
        <w:gridCol w:w="334"/>
        <w:gridCol w:w="761"/>
        <w:gridCol w:w="262"/>
        <w:gridCol w:w="231"/>
        <w:gridCol w:w="334"/>
        <w:gridCol w:w="761"/>
        <w:gridCol w:w="166"/>
        <w:gridCol w:w="146"/>
        <w:gridCol w:w="306"/>
        <w:gridCol w:w="699"/>
        <w:gridCol w:w="241"/>
        <w:gridCol w:w="212"/>
        <w:gridCol w:w="306"/>
        <w:gridCol w:w="829"/>
        <w:gridCol w:w="5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Liquor 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Liquor licenses are deemed to have indefinite useful lives and are qualitatively tested on an annual basis for impairment. Liquor licenses are included in the other assets line item in the accompanying condensed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taxes are imposed by state, county, and city governmental authorities, collected from customers and remitted to the appropriate governmental agency. The Company’s policy is to record the sales taxes collected as a liability and then remove the liability when the sales tax is remitted. There is no impact on the condensed consolidated statements of comprehensive income (loss) as restaurant sales are recorded net of sales tax.</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are expensed as incurred and are included in general and administrative expenses in the accompanying condensed consolidated statements of comprehensive income (loss). For the three months ended September 30, 2025 and 2024, the Company incurred approximately $376 thousand and $156 thousand in advertising expenses, respectively. For the nine months ended September 30, 2025 and 2024, the Company incurred approximately $1.7 million and $246 thousand in advertising costs,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been subject to continued risks and uncertainties as a result of the outbreak of pandemics, and local, state and federal governmental responses to a pandemic. We cannot predict whether future pandemic outbreaks will reoccur or whether additional restrictions may be enacted, to what extent we can maintain sales volumes during or following any resumption of mandated social distancing protocols or vaccination or mask mandates and what long-lasting effects a pandemic may have on the restaurant industry as a whole.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experienced, and in the future may experience, inflation related to its purchase of certain food supplies that the Company needs to operate its business. This price volatility could potentially have a material impact on the Company’s financial condition and/or its results of operations. In order to mitigate price volatility, the Company monitors cost fluctuations and may adjust its menu prices accordingly. The Company’s ability to compensate for higher costs through increased menu pricing may be limited by the competitive environment in which the Company operates.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evaluated and will continue to evaluate the impact of import laws and tariffs on our operations. As of September 30, 2025, import laws and tariffs have not had a material impact on our business, financial condition, results of operations or cash flows. However, we expect tariffs will impact our operations in certain areas, such as food and beverage costs, construction and equipment costs and other restaurant operating costs, for the remainder of fiscal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 Revitalization Fund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several of the Company’s restaurants received a total of approximately $16.8 million from the Restaurant Revitalization Fund (“RRF”). The RRF funds must be used for specific purposes, and the Company was required to provide use of funds validation on an annual basis through March 2023. The Company accounted for the RRF funds as a government grant and has recognized the amounts as income as related expenses were incurred. During the year ended December 31, 2022, the Company recognized approximately $13.0 million as RRF grant income and had deferred the remaining balance of $3.8 million. No RRF grant income was recognized during the nine months ended September 30, 2025 and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Retention Credits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2020, the Coronavirus Aid, Relief, and Economic Security Act was signed into law, providing numerous tax provisions and other stimulus measures, including the Employee Retention Credit (“ERC”), a refundable tax credit against certain employment taxes. The Taxpayer Certainty and Disaster Tax Relief Act of 2020 and the American Rescue Plan Act of 2021 extended and expanded the availability of the ERC. We qualified for the ERC in the first and second quarters of 2019, second and fourth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quarters of 2020 and first, second and third quarters of 2021. During the three months ended September 30, 2025 and 2024, we did not received any ERC. During the nine months ended September 30, 2025 and 2024, we recorded an aggregate benefit of $313 thousand and $200 thousand, respectively, in our condensed consolidated statement of comprehensive income (loss) to reflect the ERC.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(x) Net Income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per share is computed by dividing net income attributable to the Company by the weighted-average number of shares outstanding during the period. Diluted net income per share is computed by giving effect to all potential weighted-average dilutive shares including stock options, restricted stock units, dividend equivalent units, restricted stock awards, and Class B Common Units exchangeable for shares of Class A common stock. The dilutive effect of outstanding awards, if any, is reflected in diluted earnings per share by application of the treasury stock method or if-converted method, as applicable. See “Note 15—Net Income per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 primarily of receivable from Costco for gift card sales. The collectability of accounts receivable is evaluated based on a variety of factors, including historical experience, current economic conditions and other factors.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18, 2024, we acquired the remaining 50% interest in GKBH, which was previously accounted for under the equity method. GKBH has been consolidated in our consolidated financial statement commencing February 18, 2024, the date of acquisition. The purchase price for the acquisition was allocated based on estimates of the fair value of the net assets acquired at the acquisition date, with the excess allocated to goodwill. The total consideration for the acquisition was $6.0 million, payable in cash. During the nine months ended September 30, 2024, we recognized approximately $370 thousand in acquisition-related costs, which were included within “Gain on remeasurement of previously held interest” in our condensed consolidated statements of comprehensive income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fair value of GKBH’s assets and liabilities at the acquisition date, and the resulting goodwill.</w:t>
      </w:r>
    </w:p>
    <w:p>
      <w:pPr>
        <w:pStyle w:val="TextBody"/>
        <w:bidi w:val="0"/>
        <w:jc w:val="left"/>
        <w:rPr/>
      </w:pPr>
      <w:r>
        <w:rPr/>
        <w:t> </w:t>
      </w:r>
    </w:p>
    <w:tbl>
      <w:tblPr>
        <w:tblW w:w="6475" w:type="dxa"/>
        <w:jc w:val="left"/>
        <w:tblInd w:w="0" w:type="dxa"/>
        <w:tblLayout w:type="fixed"/>
        <w:tblCellMar>
          <w:top w:w="28" w:type="dxa"/>
          <w:left w:w="28" w:type="dxa"/>
          <w:bottom w:w="28" w:type="dxa"/>
          <w:right w:w="28" w:type="dxa"/>
        </w:tblCellMar>
      </w:tblPr>
      <w:tblGrid>
        <w:gridCol w:w="5251"/>
        <w:gridCol w:w="146"/>
        <w:gridCol w:w="211"/>
        <w:gridCol w:w="676"/>
        <w:gridCol w:w="1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price of 50% interest in GKBH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Acquisition-date fair value of previously held interest (Level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GKBH at acquisition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110" w:type="dxa"/>
        <w:jc w:val="left"/>
        <w:tblInd w:w="0" w:type="dxa"/>
        <w:tblLayout w:type="fixed"/>
        <w:tblCellMar>
          <w:top w:w="28" w:type="dxa"/>
          <w:left w:w="28" w:type="dxa"/>
          <w:bottom w:w="28" w:type="dxa"/>
          <w:right w:w="28" w:type="dxa"/>
        </w:tblCellMar>
      </w:tblPr>
      <w:tblGrid>
        <w:gridCol w:w="2866"/>
        <w:gridCol w:w="146"/>
        <w:gridCol w:w="211"/>
        <w:gridCol w:w="676"/>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10,285</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is calculated as the excess of the purchase price over the net assets acquired. The Company expects that a portion of the goodwill balance to be deductible for tax purposes over a period of 15 years. Goodwill is primarily attributed to growth and efficiency opportunities, expected synergies from combining the operations with the Company, and the assembled workforce.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unaudited supplemental consolidated pro forma results as if the acquisition of GKBH had occurred on January 1, 2024.</w:t>
      </w:r>
    </w:p>
    <w:p>
      <w:pPr>
        <w:pStyle w:val="TextBody"/>
        <w:bidi w:val="0"/>
        <w:jc w:val="left"/>
        <w:rPr/>
      </w:pPr>
      <w:r>
        <w:rPr/>
        <w:t> </w:t>
      </w:r>
    </w:p>
    <w:tbl>
      <w:tblPr>
        <w:tblW w:w="9566" w:type="dxa"/>
        <w:jc w:val="left"/>
        <w:tblInd w:w="0" w:type="dxa"/>
        <w:tblLayout w:type="fixed"/>
        <w:tblCellMar>
          <w:top w:w="28" w:type="dxa"/>
          <w:left w:w="28" w:type="dxa"/>
          <w:bottom w:w="28" w:type="dxa"/>
          <w:right w:w="28" w:type="dxa"/>
        </w:tblCellMar>
      </w:tblPr>
      <w:tblGrid>
        <w:gridCol w:w="3061"/>
        <w:gridCol w:w="146"/>
        <w:gridCol w:w="271"/>
        <w:gridCol w:w="870"/>
        <w:gridCol w:w="213"/>
        <w:gridCol w:w="187"/>
        <w:gridCol w:w="271"/>
        <w:gridCol w:w="870"/>
        <w:gridCol w:w="246"/>
        <w:gridCol w:w="246"/>
        <w:gridCol w:w="238"/>
        <w:gridCol w:w="883"/>
        <w:gridCol w:w="187"/>
        <w:gridCol w:w="165"/>
        <w:gridCol w:w="238"/>
        <w:gridCol w:w="883"/>
        <w:gridCol w:w="5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consist of cash and cash equivalents and investments. The carrying amounts reported in the accompanying condensed consolidated balance sheets for cash and cash equivalents approximate fair value because of the short-term maturity of those instruments. Fair value measurements are classified and disclosed in one of the following three categories:</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Unobservable inputs that are supported by little or no market activity and that are significant to the fair value of the assets of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September 30, 2025, all of the Company's financial assets that were subject to fair value measurement were valued using observable inputs. The Company's financial assets valued based on Level 1 inputs consist of cash and money market funds. The Company's financial assets based on Level 1 inputs consist of U.S. treasury securities.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34"/>
        <w:gridCol w:w="146"/>
        <w:gridCol w:w="211"/>
        <w:gridCol w:w="676"/>
        <w:gridCol w:w="146"/>
        <w:gridCol w:w="146"/>
        <w:gridCol w:w="290"/>
        <w:gridCol w:w="930"/>
        <w:gridCol w:w="200"/>
        <w:gridCol w:w="200"/>
        <w:gridCol w:w="290"/>
        <w:gridCol w:w="476"/>
        <w:gridCol w:w="200"/>
        <w:gridCol w:w="200"/>
        <w:gridCol w:w="290"/>
        <w:gridCol w:w="476"/>
        <w:gridCol w:w="194"/>
      </w:tblGrid>
      <w:tr>
        <w:trPr/>
        <w:tc>
          <w:tcPr>
            <w:tcW w:w="5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September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Account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Treasury Securities (included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related accumulated depreciation and amortization of major classes of property:</w:t>
      </w:r>
    </w:p>
    <w:p>
      <w:pPr>
        <w:pStyle w:val="TextBody"/>
        <w:bidi w:val="0"/>
        <w:jc w:val="left"/>
        <w:rPr/>
      </w:pPr>
      <w:r>
        <w:rPr/>
        <w:t> </w:t>
      </w:r>
    </w:p>
    <w:tbl>
      <w:tblPr>
        <w:tblW w:w="7765" w:type="dxa"/>
        <w:jc w:val="left"/>
        <w:tblInd w:w="0" w:type="dxa"/>
        <w:tblLayout w:type="fixed"/>
        <w:tblCellMar>
          <w:top w:w="28" w:type="dxa"/>
          <w:left w:w="28" w:type="dxa"/>
          <w:bottom w:w="28" w:type="dxa"/>
          <w:right w:w="28" w:type="dxa"/>
        </w:tblCellMar>
      </w:tblPr>
      <w:tblGrid>
        <w:gridCol w:w="4051"/>
        <w:gridCol w:w="146"/>
        <w:gridCol w:w="328"/>
        <w:gridCol w:w="1217"/>
        <w:gridCol w:w="166"/>
        <w:gridCol w:w="146"/>
        <w:gridCol w:w="334"/>
        <w:gridCol w:w="116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period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construction in progress balance on each of September 30, 2025 and December 31, 2024 is related to new restaurants being developed for openings expected in 2025 and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depreciation and amortization for the three months ended September 30, 2025 and 2024 was $2.3 million and $1.7 million, respectively, of which $2 thousand and $0 for those periods, respectively, was related to assets acquired under a finance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depreciation and amortization for the nine months ended September 30, 2025 and 2024 was $6.6 million and $5.0 million, respectively, of which $3 thousand and $0 for those periods, respectively, was related to assets acquired under a finance lease.</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(6)</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 xml:space="preserve">Gift Cards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Total deferred revenue related to gift cards include the full value of the unredeemed gift card balances less recognized breakage and the unamortized portion of third-party fees. The following table presents information related to gift cards:</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1996"/>
        <w:gridCol w:w="146"/>
        <w:gridCol w:w="739"/>
        <w:gridCol w:w="2216"/>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Activations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Gift Card Breakage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18, 2024, the Company finalized an agreement with WDI International, Inc. to acquire the remaining 50% ownership stake in GKBH, along with securing rights for participation in upcoming restaurant ventures in Hawaii, at a valuation of $6.0 million. Subsequently, on the same date, the Company disbursed $3.0 million in cash and committed to a promissory note amounting to $3.0 million as per the terms of the agreement. The note was non-interest bearing and was due August 16, 2024, at which time the note was paid in full on August 16,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29, 2023, the Company entered into a loan agreement for a $20.0 million line of credit with PCB Bank. The line of credit matures on September 25, 2026, and bears interest at a variable rate per annum equal to 7.50% as of September 30, 2025. As of September 30, 2025, the balance was $0.</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Notes Payable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Notes Payable to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third quarter of 2024, the Company entered into a loan agreement with a bank in the amount of $3.0 million with a maturity date of June 26, 2026, at a variable interest rate which is defined as the Wall Street Journal Prime Rate plus 0.25%, resulting in an interest rate of 7.50% as of September 30, 2025. The balance as of September 30, 2025 was $1.1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25, 2025, the Company entered into a loan agreement with PCB Bank in the amount of $2.0 million with a maturity date of April 25, 2027 at a variable interest rate which is defined as the Wall Street Journal Prime Rate plus 0.25%, resulting in an interest rate of 7.50% as of September 30, 2025. The balance as of September 30, 2025 was $1.5 million.</w:t>
      </w:r>
    </w:p>
    <w:p>
      <w:pPr>
        <w:pStyle w:val="TextBody"/>
        <w:bidi w:val="0"/>
        <w:spacing w:before="240" w:after="283"/>
        <w:jc w:val="left"/>
        <w:rPr>
          <w:rFonts w:ascii="Times New Roman" w:hAnsi="Times New Roman"/>
          <w:sz w:val="20"/>
        </w:rPr>
      </w:pPr>
      <w:r>
        <w:rPr>
          <w:rFonts w:ascii="Times New Roman" w:hAnsi="Times New Roman"/>
          <w:color w:val="000000"/>
          <w:sz w:val="20"/>
        </w:rPr>
        <w:t>On July 29, 2025, the Company entered into a loan agreement for $4.0 million with PCB Bank. The loan matures on July 29, 2027, and bears interest at a variable rate per annum equal to 0.25% over the Wall Street Journal Prime Rate, which equaled 7.50% as of September 30, 2025. The balance as of September 30, 2025 was $3.7 million</w:t>
      </w:r>
      <w:r>
        <w:rPr>
          <w:rFonts w:ascii="Times New Roman" w:hAnsi="Times New Roman"/>
          <w:b/>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Economic Injury Disaster Loan (“EIDL”)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 2020, the Company executed the standard loan documents for six restaurants required for securing an EIDL loan from the United States Small Business Administration (the “SBA”) under its Economic Injury Disaster Loan assistance program. This assistance was sought in light of the impact of the COVID-19 pandemic on the Company’s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both September 30, 2025 and December 31, 2024, the total principal amounts of the EIDLs were $4.3 million and $4.4 million, respectively, and the proceeds were used for working capital purposes. Interest accrues on the EIDL loans at 3.75% per annum. Installment payments, including principal and interest, are due monthly beginning twelve months from the origination date of each loan. The balance of principal and interest is payable over thirty years from the date of the promissory note.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Payable to Landlord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2017, GEN Fremont entered into a note agreement with a landlord. The Company is making equal monthly payments on this note which has a July 2027 maturity date, with an interest rate of 8.00% per annum. As of September 30, 2025 and December 31, 2024, the loan balance outstanding was $151 thousand and $203 thousand,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Total Obligations of Notes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maturities of all third party notes payable as of September 30, 2025:</w:t>
      </w:r>
    </w:p>
    <w:p>
      <w:pPr>
        <w:pStyle w:val="TextBody"/>
        <w:bidi w:val="0"/>
        <w:jc w:val="left"/>
        <w:rPr/>
      </w:pPr>
      <w:r>
        <w:rPr/>
        <w:t> </w:t>
      </w:r>
    </w:p>
    <w:tbl>
      <w:tblPr>
        <w:tblW w:w="4545" w:type="dxa"/>
        <w:jc w:val="left"/>
        <w:tblInd w:w="0" w:type="dxa"/>
        <w:tblLayout w:type="fixed"/>
        <w:tblCellMar>
          <w:top w:w="28" w:type="dxa"/>
          <w:left w:w="28" w:type="dxa"/>
          <w:bottom w:w="28" w:type="dxa"/>
          <w:right w:w="28" w:type="dxa"/>
        </w:tblCellMar>
      </w:tblPr>
      <w:tblGrid>
        <w:gridCol w:w="3121"/>
        <w:gridCol w:w="146"/>
        <w:gridCol w:w="211"/>
        <w:gridCol w:w="676"/>
        <w:gridCol w:w="3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2025 -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(9)</w:t>
      </w:r>
    </w:p>
    <w:p>
      <w:pPr>
        <w:pStyle w:val="TextBody"/>
        <w:bidi w:val="0"/>
        <w:spacing w:before="160" w:after="283"/>
        <w:jc w:val="left"/>
        <w:rPr>
          <w:rFonts w:ascii="Times New Roman" w:hAnsi="Times New Roman"/>
          <w:b/>
          <w:color w:val="231F20"/>
          <w:sz w:val="20"/>
        </w:rPr>
      </w:pPr>
      <w:r>
        <w:rPr>
          <w:rFonts w:ascii="Times New Roman" w:hAnsi="Times New Roman"/>
          <w:b/>
          <w:color w:val="231F20"/>
          <w:sz w:val="20"/>
        </w:rPr>
        <w:t>Related Party Notes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2022, the Members loaned $1.9 million to the Company, at an interest rate of 3.00% per year and a maturity date of November 25, 2024. The balance was $0 at each of September 30, 2025 and December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incurred for the related party debt line item for the three months ended September 30, 2025 and 2024, was $0 for both periods.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incurred for the related party debt line item for the nine months ended September 30, 2025 and 2024, was $0 and $52 thousand, respectively.</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inception of a contract, the Company assesses whether a contract is a lease based on whether the contract conveys the right to control the use of an identified asset for a period of time in exchange for consideration. Lease classification, measurement, and recognition are determined at lease commencement, which is the date the underlying asset is available for use by the Company. The accounting classification of a lease is based on whether the arrangement is effectively a financed purchase of the underlying asset (finance lease) or not (operating lease). The Company has operating and finance leases for its corporate office, restaurant locations, office equipment and kitchen equipment. Our leases have remaining lease terms of less than one year up to 25 years, including options to extend many of the leases. For leases with renewal periods at the Company’s option, the Company determines the expected lease period based on whether the renewal of any options are reasonably assured at the inception of the lease.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leases are accounted for on the condensed consolidated balance sheets with the lease assets and liabilities recognized in “Operating lease assets,” - “Operating lease liabilities, current,” and “Operating lease liabilities, net of current portion”.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assets and liabilities are recognized at the lease commencement date. All lease liabilities are measured at the present value of the lease payments not yet paid. To determine the present value of lease payments not yet paid, we estimate incremental borrowing rates corresponding to the maturities of the leases. We estimate this rate based on prevailing financial market conditions, comparable company and credit analysis, and management judgment. Operating lease assets are initially measured based on the lease liability, adjusted for initial direct costs, prepaid or deferred rent, and lease incentives. The operating lease liabilities are subsequently measured at the carrying amount of the lease liability adjusted for initial direct costs, prepaid or accrued lease payments, and lease incentives.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operating and finance lease activities to the condensed consolidated statements of comprehensive income (loss) and balance sheets for the periods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3"/>
        <w:gridCol w:w="146"/>
        <w:gridCol w:w="3160"/>
        <w:gridCol w:w="146"/>
        <w:gridCol w:w="247"/>
        <w:gridCol w:w="669"/>
        <w:gridCol w:w="171"/>
        <w:gridCol w:w="171"/>
        <w:gridCol w:w="247"/>
        <w:gridCol w:w="669"/>
        <w:gridCol w:w="146"/>
        <w:gridCol w:w="146"/>
        <w:gridCol w:w="231"/>
        <w:gridCol w:w="742"/>
        <w:gridCol w:w="160"/>
        <w:gridCol w:w="160"/>
        <w:gridCol w:w="231"/>
        <w:gridCol w:w="742"/>
        <w:gridCol w:w="398"/>
      </w:tblGrid>
      <w:tr>
        <w:trPr/>
        <w:tc>
          <w:tcPr>
            <w:tcW w:w="1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related expenses, and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40" w:type="dxa"/>
        <w:jc w:val="left"/>
        <w:tblInd w:w="0" w:type="dxa"/>
        <w:tblLayout w:type="fixed"/>
        <w:tblCellMar>
          <w:top w:w="28" w:type="dxa"/>
          <w:left w:w="28" w:type="dxa"/>
          <w:bottom w:w="28" w:type="dxa"/>
          <w:right w:w="28" w:type="dxa"/>
        </w:tblCellMar>
      </w:tblPr>
      <w:tblGrid>
        <w:gridCol w:w="4966"/>
        <w:gridCol w:w="146"/>
        <w:gridCol w:w="328"/>
        <w:gridCol w:w="1217"/>
        <w:gridCol w:w="146"/>
        <w:gridCol w:w="146"/>
        <w:gridCol w:w="319"/>
        <w:gridCol w:w="1181"/>
        <w:gridCol w:w="1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balance sheet information related to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 xml:space="preserve">Operating leases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00" w:type="dxa"/>
        <w:jc w:val="left"/>
        <w:tblInd w:w="0" w:type="dxa"/>
        <w:tblLayout w:type="fixed"/>
        <w:tblCellMar>
          <w:top w:w="28" w:type="dxa"/>
          <w:left w:w="28" w:type="dxa"/>
          <w:bottom w:w="28" w:type="dxa"/>
          <w:right w:w="28" w:type="dxa"/>
        </w:tblCellMar>
      </w:tblPr>
      <w:tblGrid>
        <w:gridCol w:w="3586"/>
        <w:gridCol w:w="146"/>
        <w:gridCol w:w="617"/>
        <w:gridCol w:w="928"/>
        <w:gridCol w:w="166"/>
        <w:gridCol w:w="146"/>
        <w:gridCol w:w="456"/>
        <w:gridCol w:w="1044"/>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Finance lease assets, net</w:t>
            </w:r>
            <w:r>
              <w:rPr>
                <w:rFonts w:ascii="Times New Roman" w:hAnsi="Times New Roman"/>
                <w:color w:val="000000"/>
                <w:sz w:val="16"/>
              </w:rPr>
              <w:t>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50" w:type="dxa"/>
        <w:jc w:val="left"/>
        <w:tblInd w:w="0" w:type="dxa"/>
        <w:tblLayout w:type="fixed"/>
        <w:tblCellMar>
          <w:top w:w="28" w:type="dxa"/>
          <w:left w:w="28" w:type="dxa"/>
          <w:bottom w:w="28" w:type="dxa"/>
          <w:right w:w="28" w:type="dxa"/>
        </w:tblCellMar>
      </w:tblPr>
      <w:tblGrid>
        <w:gridCol w:w="4576"/>
        <w:gridCol w:w="146"/>
        <w:gridCol w:w="617"/>
        <w:gridCol w:w="928"/>
        <w:gridCol w:w="146"/>
        <w:gridCol w:w="146"/>
        <w:gridCol w:w="566"/>
        <w:gridCol w:w="934"/>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Finance lease liabilities</w:t>
            </w:r>
            <w:r>
              <w:rPr>
                <w:rFonts w:ascii="Times New Roman" w:hAnsi="Times New Roman"/>
                <w:color w:val="000000"/>
                <w:sz w:val="16"/>
              </w:rPr>
              <w:t>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under finance leases,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Obligations under finance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tbl>
      <w:tblPr>
        <w:tblW w:w="6418" w:type="dxa"/>
        <w:jc w:val="left"/>
        <w:tblInd w:w="0" w:type="dxa"/>
        <w:tblLayout w:type="fixed"/>
        <w:tblCellMar>
          <w:top w:w="28" w:type="dxa"/>
          <w:left w:w="28" w:type="dxa"/>
          <w:bottom w:w="28" w:type="dxa"/>
          <w:right w:w="28" w:type="dxa"/>
        </w:tblCellMar>
      </w:tblPr>
      <w:tblGrid>
        <w:gridCol w:w="4411"/>
        <w:gridCol w:w="146"/>
        <w:gridCol w:w="367"/>
        <w:gridCol w:w="1178"/>
        <w:gridCol w:w="3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lease liabilities as of September 30, 2025:</w:t>
      </w:r>
    </w:p>
    <w:p>
      <w:pPr>
        <w:pStyle w:val="TextBody"/>
        <w:bidi w:val="0"/>
        <w:jc w:val="left"/>
        <w:rPr/>
      </w:pPr>
      <w:r>
        <w:rPr/>
        <w:t> </w:t>
      </w:r>
    </w:p>
    <w:tbl>
      <w:tblPr>
        <w:tblW w:w="6205" w:type="dxa"/>
        <w:jc w:val="left"/>
        <w:tblInd w:w="0" w:type="dxa"/>
        <w:tblLayout w:type="fixed"/>
        <w:tblCellMar>
          <w:top w:w="28" w:type="dxa"/>
          <w:left w:w="28" w:type="dxa"/>
          <w:bottom w:w="28" w:type="dxa"/>
          <w:right w:w="28" w:type="dxa"/>
        </w:tblCellMar>
      </w:tblPr>
      <w:tblGrid>
        <w:gridCol w:w="2986"/>
        <w:gridCol w:w="146"/>
        <w:gridCol w:w="273"/>
        <w:gridCol w:w="1092"/>
        <w:gridCol w:w="166"/>
        <w:gridCol w:w="146"/>
        <w:gridCol w:w="449"/>
        <w:gridCol w:w="73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discount/interest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September 30, 2025, the Company had additional operating leases related to new restaurants the Company has not yet taken possession of that will total $54.0 million in future lease payment commitments. These operating leases are expected to commence later in fiscal year 2025 and have lease terms, including option periods, of 20 to 25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obligated under finance leases covering certain property and equipment that expire at various dates. On September 30, 2025 and 2024 the gross amounts of property and equipment and related accumulated depreciation and amortization recorded under finance leases were as follows:</w:t>
      </w:r>
    </w:p>
    <w:p>
      <w:pPr>
        <w:pStyle w:val="TextBody"/>
        <w:bidi w:val="0"/>
        <w:jc w:val="left"/>
        <w:rPr/>
      </w:pPr>
      <w:r>
        <w:rPr/>
        <w:t> </w:t>
      </w:r>
    </w:p>
    <w:tbl>
      <w:tblPr>
        <w:tblW w:w="9025" w:type="dxa"/>
        <w:jc w:val="left"/>
        <w:tblInd w:w="0" w:type="dxa"/>
        <w:tblLayout w:type="fixed"/>
        <w:tblCellMar>
          <w:top w:w="28" w:type="dxa"/>
          <w:left w:w="28" w:type="dxa"/>
          <w:bottom w:w="28" w:type="dxa"/>
          <w:right w:w="28" w:type="dxa"/>
        </w:tblCellMar>
      </w:tblPr>
      <w:tblGrid>
        <w:gridCol w:w="5266"/>
        <w:gridCol w:w="146"/>
        <w:gridCol w:w="617"/>
        <w:gridCol w:w="928"/>
        <w:gridCol w:w="166"/>
        <w:gridCol w:w="146"/>
        <w:gridCol w:w="470"/>
        <w:gridCol w:w="1075"/>
        <w:gridCol w:w="21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of assets held under finance leases is included with depreciation expense in the condensed consolidated statements of comprehensive income (loss).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Commitments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23, 2016, pursuant to the U.S. government’s Immigrant Investor Program, commonly known as the EB-5 program (the “EB-5 Program”), Gen Restaurant Investment, LLC entered into an operating agreement with an investor (the “EB-5 Investor”). Under the terms and conditions of the EB-5 Program, the Company is subject to certain job creation requirements.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EB-5 Program operating agreement, Gen Restaurant Investment, LLC issued three units of Series II Preferred Member Interest in exchange for a 30% interest and received $1.5 million, recorded as equity. Five years from the date of issue, or after approval of the l-829 petition to USCIS, if later, the EB-5 Investor has the option to convert the Series II Units into Series I Units. If the EB-5 Investor does not exercise the conversion option, the Company may exercise its call option to purchase the EB-5 Investor’s interests at fair market value. If approval of the preferred member's I-526 immigration application is denied, the Company is required to repurchase the preferred member's units for $1.5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this has been presented as mezzanine equity, not permanent equity, in the accompanying condensed consolidated balance sheets.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its related entities are involved in various claims and legal actions arising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However, a significant increase in the number of these claims or an increase in amounts owing under successful claims, could materially and adversely affect its business, financial condition, results of operations or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several lawsuits brought in Los Angeles County, California by ex-employees alleging labor law violations. The Company plans to continue to defend against these claims and does not expect the outcome of the lawsuit to have a material impact on the financial statements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231F20"/>
          <w:sz w:val="20"/>
        </w:rPr>
        <w:t>A</w:t>
      </w:r>
      <w:r>
        <w:rPr>
          <w:rFonts w:ascii="Times New Roman" w:hAnsi="Times New Roman"/>
          <w:color w:val="000000"/>
          <w:sz w:val="20"/>
        </w:rPr>
        <w:t>s a result of the IPO and related transactions the Company owns a portion of the common units of the Operating Company, which is treated as a partnership for U.S. federal, and most applicable state and local income tax purposes. As a partnership, the Operating Company is generally not subject to U.S. federal and certain state and local income taxes. Any taxable income or loss generated by the Operating Company is passed through to and included in the taxable income or loss of its Members in accordance with the terms of the Operating Agreement. The Company is subject to U.S. federal, state and local income taxes based on its share of the Operating Company’s pass-through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 tax rate differs from the statutory tax rate primarily due to the Operating Company’s pass-through structure for U.S. income tax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2025, the Company did not have any unrecognized tax benefits as a result of tax positions taken during a prior period or during the current period. No interest or penalties have been recorded as a result of tax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September 30, 2025 and 2024, the Company recorded an income tax (benefit) expense of ($271) thousand and $115 thousand, respectively. The Company’s effective income tax rate before discrete items for the three months ended September 30, 2025 and 2024 was 6.50% and 1.99%,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September 30, 2025 and 2024, the Company recorded an income tax (benefit) expense of ($540) thousand and $198 thousand, respectively. The Company’s effective income tax rate before discrete items for the nine months ended September 30, 2025 and 2024 was 6.9% and 3.23%,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Tax Receivable Agreement (“TRA”)</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GEN Inc. entered into the TRA, with the Operating Company and each of the Members that provides for the payment by GEN Inc. to the Members of 85% of the amount of tax benefits, if any, that the Company may actually realize (or in some circumstances is deemed to realize) as a result of (i) increases in tax basis resulting from any future redemptions that are funded by GEN Inc. or exchanges of Class A Common Units described above in “Note 1—Organization and Description of Business” and (ii) certain other tax benefits attributable to payments made under the TRA.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annual tax benefits are computed by calculating the income taxes due, including such tax benefits, and the income taxes due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without such benefits. The Operating Company expects to benefit from the remaining 15% of any tax benefits that it may actually realize. The TRA payments are not conditioned upon any continued ownership interest in the Operating Company. The rights of each noncontrolling interest holder under the TRA are assignable to transferees of its interest in the Operating Company. The timing and amount of aggregate payments due under the TRA may vary based on a number of factors, including the amount and timing of the taxable income the Operating Company generates each year and the applicable tax rate.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September 30, 2025 and December 31, 2024, the Company had a liability related to its projected obligations under the TRA of $1.1 million and $691 thousand, respectively, which is reflected on the Company’s condensed consolidated balance sheets in “Tax receivable agreement liability”. During the nine months ended September 30, 2025, GEN Inc. did not make any payments to members of the Operating Company pursuant to the TRA.</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On July 4, 2025, the U.S. enacted H.R. 1 “A bill to provide for reconciliation pursuant to Title II of H. Con. Res. 14,” commonly referred to as the One Big Beautiful Bill Act. Changes in tax laws may affect recorded deferred tax assets and deferred tax liabilities and our effective tax rate in the future and we continue to evaluate the impacts the new legislation will have on the Condensed Consolidated Financial Statements. As a result of the enactment of H.R. 1, we anticipate an impact to the deferred tax liability and income tax payable related to the provisions for the 100% bonus depreciation for assets placed in service after January 19, 2025. There was no impact as of the date of enactment. We do not expect any material change to our ongoing statutory tax rate as a result of this legislation. </w:t>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(13)</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Non-Controlling Interest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As discussed in “Note 1 – Organization and Description of Business,” the Company consolidates the financial results of the Operating Company and reports a non-controlling interest related to the Class B Common Units held by non-controlling interest holders on its consolidated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As of September 30, 2025, the Company owned 16.0% of the economic interests in the Operating Company, with the remaining 84.0% of the economic interest owned by non-controlling interest holders. The non-controlling interests on the accompanying condensed consolidated statements of comprehensive income (loss) represents the portion of the income attributable to the economic interests in the Operating Company held by the non-controlling holders of Class B Common Units calculated based on the weighted-average non-controlling interests’ ownership during the periods presented.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nine months ended September 30, 2024 the Company purchased approximately $228 thousand and $577 thousand, respectively, of supplies from PGD, which is 100% owned by Mr. Jae Chang, a member of our Board of Directors; no purchases were made during the three and nine months ended September 30, 2025 and there were no outstanding obligations from PGD during this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September 30, 2025, GEN Mountain View, LP had a related party account payable to a company owned by Mr. David Kim, our Chief Executive Officer, for the purchase of fixed assets during 2018. The balance of $44 thousand was paid in full in the third quarter of 2025, and was $0 as of September 30,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per share of Class A common stock is computed by dividing net income attributable to GEN Inc. by the weighted-average number of shares of Class A common stock outstanding during the period. Diluted net income per share of Class A common stock is computed by dividing net income attributable to GEN Inc. by the weighted-average number of shares of Class A common stock outstanding adjusted to give effect to potentially dilutive securities. Diluted net income per share for any periods for which loss per share is presented is the same as basic net income per share as the inclusion of potentially issuable shares would be antidilutive.</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calculation of the numerator and denominator used in the calculation of basic and diluted net income per share of Class A common stock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08"/>
        <w:gridCol w:w="146"/>
        <w:gridCol w:w="254"/>
        <w:gridCol w:w="763"/>
        <w:gridCol w:w="200"/>
        <w:gridCol w:w="176"/>
        <w:gridCol w:w="254"/>
        <w:gridCol w:w="690"/>
        <w:gridCol w:w="146"/>
        <w:gridCol w:w="146"/>
        <w:gridCol w:w="262"/>
        <w:gridCol w:w="785"/>
        <w:gridCol w:w="206"/>
        <w:gridCol w:w="262"/>
        <w:gridCol w:w="710"/>
        <w:gridCol w:w="397"/>
      </w:tblGrid>
      <w:tr>
        <w:trPr/>
        <w:tc>
          <w:tcPr>
            <w:tcW w:w="4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gridSpan w:val="5"/>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attributable to Class A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 per share of Class A common stock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and nine months ended September 30, 2025 and 2024, 27,682,719 and 27,886,912, respectively, shares of Class B common stock was excluded from the weighted-average in the computation of diluted net income per share of Class A common stock because the effect would have been anti-dilutive. In addition, for the three and nine months ended September 30, 2025 and 2024, 372,600 warrants in each period, and 879,000 and 1,092,000 restricted stock units, respectively, were excluded from the calculation of weighted average shares outstanding in the calculation of diluted net (loss) income per share of Class A common stock because their effect would have been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Shares of Class B common stock do not share in the earnings or losses of GEN Inc. and are therefore not participating securities. Separate calculations of basic and diluted net income per share for Class B common stock have not been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IPO, the Company granted restricted stock units (“RSUs”) to certain team members that generally vest on the five-year anniversary of the grant date, or over a five-year period with vesting of 20% each year. The non-employee directors of the Company received RSUs that vested on the first anniversary of the grant date, subject to the grantee's continued service through the vesting period, or upon termination from the Board of Directors for any reason other than for cause, a prorated portion of the shares vest on the termination date. The total stock-based compensation for the three and nine months ended September 30, 2025 was $734 thousand and $2.2 million, respectively, and is included in general and administrative expenses.</w:t>
      </w:r>
    </w:p>
    <w:p>
      <w:pPr>
        <w:pStyle w:val="TextBody"/>
        <w:bidi w:val="0"/>
        <w:jc w:val="left"/>
        <w:rPr/>
      </w:pPr>
      <w:r>
        <w:rPr/>
        <w:t> </w:t>
      </w:r>
    </w:p>
    <w:tbl>
      <w:tblPr>
        <w:tblW w:w="5193" w:type="dxa"/>
        <w:jc w:val="left"/>
        <w:tblInd w:w="0" w:type="dxa"/>
        <w:tblLayout w:type="fixed"/>
        <w:tblCellMar>
          <w:top w:w="28" w:type="dxa"/>
          <w:left w:w="28" w:type="dxa"/>
          <w:bottom w:w="28" w:type="dxa"/>
          <w:right w:w="28" w:type="dxa"/>
        </w:tblCellMar>
      </w:tblPr>
      <w:tblGrid>
        <w:gridCol w:w="3236"/>
        <w:gridCol w:w="146"/>
        <w:gridCol w:w="384"/>
        <w:gridCol w:w="1116"/>
        <w:gridCol w:w="31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RSUs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Non-vested as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aggregate fair value of the RSU's granted during the year ended December 31, 2023 was $14.6 million. The unrecognized stock-based compensation of $7.8 million as of September 30, 2025, will be recognized through July 2028. The Company issued 372,600 (or 9% of the shares of common stock sold in the offering) warrants in connection with the IPO transaction to the underwriters. The warrants expire five years after the effective date of the registration and can be exercised on a cashless basis. As a result, the conversion of some or all of the warrants may dilute the ownership interests of existing shareholders.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(17</w:t>
      </w:r>
      <w:r>
        <w:rPr>
          <w:rFonts w:ascii="Times New Roman" w:hAnsi="Times New Roman"/>
          <w:color w:val="000000"/>
          <w:sz w:val="20"/>
        </w:rPr>
        <w:t xml:space="preserve">) </w:t>
      </w:r>
      <w:r>
        <w:rPr>
          <w:rFonts w:ascii="Times New Roman" w:hAnsi="Times New Roman"/>
          <w:b/>
          <w:color w:val="000000"/>
          <w:sz w:val="20"/>
        </w:rPr>
        <w:t>Cash Paid for Common Stock Purchased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stock buyback program to repurchase up to $5.0 million worth of shares of the Company’s outstanding Class A common stock. During the three and nine months ended September 30, 2025, the Company purchased 0 and 33,388 shares of Class A common stock for a total of $0 and $200 thousand,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stock repurchase program does not obligate the Company to acquire any particular amount of Class A common stock, and it may be suspended or discontinued at any time.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common stock repurchases for the three and nine months ended September 30, 2025 is as follows:</w:t>
      </w:r>
    </w:p>
    <w:p>
      <w:pPr>
        <w:pStyle w:val="TextBody"/>
        <w:bidi w:val="0"/>
        <w:jc w:val="left"/>
        <w:rPr/>
      </w:pPr>
      <w:r>
        <w:rPr/>
        <w:t> </w:t>
      </w:r>
    </w:p>
    <w:tbl>
      <w:tblPr>
        <w:tblW w:w="9269" w:type="dxa"/>
        <w:jc w:val="left"/>
        <w:tblInd w:w="0" w:type="dxa"/>
        <w:tblLayout w:type="fixed"/>
        <w:tblCellMar>
          <w:top w:w="28" w:type="dxa"/>
          <w:left w:w="28" w:type="dxa"/>
          <w:bottom w:w="28" w:type="dxa"/>
          <w:right w:w="28" w:type="dxa"/>
        </w:tblCellMar>
      </w:tblPr>
      <w:tblGrid>
        <w:gridCol w:w="3451"/>
        <w:gridCol w:w="146"/>
        <w:gridCol w:w="228"/>
        <w:gridCol w:w="942"/>
        <w:gridCol w:w="146"/>
        <w:gridCol w:w="146"/>
        <w:gridCol w:w="271"/>
        <w:gridCol w:w="584"/>
        <w:gridCol w:w="146"/>
        <w:gridCol w:w="146"/>
        <w:gridCol w:w="284"/>
        <w:gridCol w:w="1171"/>
        <w:gridCol w:w="146"/>
        <w:gridCol w:w="146"/>
        <w:gridCol w:w="311"/>
        <w:gridCol w:w="814"/>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Number </w:t>
              <w:br/>
              <w:t>of Shares</w:t>
              <w:b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Paid</w:t>
              <w:b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Number of</w:t>
              <w:br/>
              <w:t xml:space="preserve">Shares Purchased </w:t>
              <w:br/>
              <w:t>as Part of Publicly</w:t>
              <w:br/>
              <w:t>Announced</w:t>
              <w:br/>
              <w:t xml:space="preserve">Programs </w:t>
            </w:r>
            <w:r>
              <w:rPr>
                <w:rFonts w:ascii="Times New Roman" w:hAnsi="Times New Roman"/>
                <w:b/>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 Value</w:t>
              <w:br/>
              <w:t>of Shares</w:t>
              <w:br/>
              <w:t>that May Yet</w:t>
              <w:br/>
              <w:t xml:space="preserve">Be Purchased </w:t>
              <w:br/>
              <w:t xml:space="preserve">Under the </w:t>
              <w:br/>
              <w:t>Programs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2025 thru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2025 thru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2025 thru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(18) 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57 Gen Korean BBQ restaurants in the United States and South Korea. The CODM is the Chief Executive Officer. The Company determined it has one reportable segment, as the CODM regularly reviews restaurant operations and financial performance at a consolidated level. The CODM uses net income to allocate resources (including labor, technology and capital resources) for the single segment to make decisions regarding annual budget, new restaurant openings, entering new geographic markets, landlord and vendor negotiation, marketing decisions, pursuing new business ventures and driving the Company’s mission.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26"/>
        <w:gridCol w:w="269"/>
        <w:gridCol w:w="865"/>
        <w:gridCol w:w="211"/>
        <w:gridCol w:w="186"/>
        <w:gridCol w:w="269"/>
        <w:gridCol w:w="865"/>
        <w:gridCol w:w="166"/>
        <w:gridCol w:w="146"/>
        <w:gridCol w:w="237"/>
        <w:gridCol w:w="880"/>
        <w:gridCol w:w="186"/>
        <w:gridCol w:w="164"/>
        <w:gridCol w:w="237"/>
        <w:gridCol w:w="880"/>
        <w:gridCol w:w="218"/>
      </w:tblGrid>
      <w:tr>
        <w:trPr/>
        <w:tc>
          <w:tcPr>
            <w:tcW w:w="44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1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153,726</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 cost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benefits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expenses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Pre-opening costs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Income from Operations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on lease terminations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on remeasurement of previously held interest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(income), net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Employee retention credits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Equity in loss of equity method investee</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before taxes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231F20"/>
          <w:sz w:val="20"/>
        </w:rPr>
      </w:pPr>
      <w:r>
        <w:rPr>
          <w:rFonts w:ascii="Times New Roman" w:hAnsi="Times New Roman"/>
          <w:b/>
          <w:color w:val="231F20"/>
          <w:sz w:val="20"/>
        </w:rPr>
        <w:t>GEN RESTAURANT GROUP, INC.</w:t>
      </w:r>
    </w:p>
    <w:p>
      <w:pPr>
        <w:pStyle w:val="TextBody"/>
        <w:bidi w:val="0"/>
        <w:jc w:val="center"/>
        <w:rPr>
          <w:rFonts w:ascii="Times New Roman" w:hAnsi="Times New Roman"/>
          <w:b/>
          <w:color w:val="231F20"/>
          <w:sz w:val="20"/>
        </w:rPr>
      </w:pPr>
      <w:r>
        <w:rPr>
          <w:rFonts w:ascii="Times New Roman" w:hAnsi="Times New Roman"/>
          <w:b/>
          <w:color w:val="231F20"/>
          <w:sz w:val="20"/>
        </w:rPr>
        <w:t>Notes to Condensed Consolidated Financial Statements (Unaudited)</w:t>
      </w:r>
    </w:p>
    <w:p>
      <w:pPr>
        <w:pStyle w:val="TextBody"/>
        <w:bidi w:val="0"/>
        <w:jc w:val="center"/>
        <w:rPr>
          <w:rFonts w:ascii="Times New Roman" w:hAnsi="Times New Roman"/>
          <w:b/>
          <w:color w:val="231F20"/>
          <w:sz w:val="20"/>
        </w:rPr>
      </w:pPr>
      <w:r>
        <w:rPr>
          <w:rFonts w:ascii="Times New Roman" w:hAnsi="Times New Roman"/>
          <w:b/>
          <w:color w:val="231F20"/>
          <w:sz w:val="20"/>
        </w:rPr>
        <w:t>September 30, 2025 and 2024</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The following management’s discussion and analysis of our financial condition and results of operations should be read in conjunction with the unaudited condensed consolidated financial statements and related notes of GEN Restaurant Group, Inc., included in Part I, Item 1 of this Quarterly Report on Form 10-Q, and with the audited consolidated financial statements and related notes, which are included in our Annual Report on Form 10-K for the year ended December 31, 2024 (the “Annual Report”), filed with the Securities and Exchange Commission (the “SEC”). The terms “we”, “our”, and “us” as used herein refer to the Operating Company and its consolidated subsidiaries prior to the IPO and related transactions described in this Form 10-Q and to GEN Restaurant Group, Inc. and its consolidated subsidiaries, including the Operating Company, following the IPO and related transactions.</w:t>
      </w:r>
    </w:p>
    <w:p>
      <w:pPr>
        <w:pStyle w:val="TextBody"/>
        <w:bidi w:val="0"/>
        <w:spacing w:before="240" w:after="283"/>
        <w:jc w:val="left"/>
        <w:rPr>
          <w:rFonts w:ascii="Times New Roman" w:hAnsi="Times New Roman"/>
          <w:sz w:val="20"/>
        </w:rPr>
      </w:pPr>
      <w:r>
        <w:rPr>
          <w:rFonts w:ascii="Times New Roman" w:hAnsi="Times New Roman"/>
          <w:i/>
          <w:color w:val="000000"/>
          <w:sz w:val="20"/>
        </w:rPr>
        <w:t>This Quarterly Report on Form 10-Q contains forward-looking statements that involve risks and uncertainties. Our actual results could differ materially from those discussed below. All statements other than statements of historical fact contained in this Quarterly Report, including, without limitation, statements regarding our future results of operations, or financial condition, business strategy, and plans and objectives of management for future operations, are forward-looking statements. In some cases, you can identify forward-looking statements by terminology such as “anticipate,” “believe,” “consider,” “continue,” “could,” “estimate,” “expect,” “intend,” “may,” “plan,” “potential,” “predict,” “project,” “should,” “target,” “will,” or “would” or the negative of these words or other similar terms or expressions.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Annual Report, and in our subsequent filings with the SEC, which are available on the SEC's website at www.sec.gov. The forward-looking statements made in this Quarterly Report relate only to events as of the date on which the statements are made. We undertake no obligation to update any forward-looking statements to reflect future events or circumstances, new information, or the occurrence of unanticipated events, except as required by law.</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 Restaurant Group is an Asian casual dining restaurant concept that offers an extensive menu of traditional Korean and Korean-American food, including high-quality meats, poultry, and seafood, all at a superior value. Founded in 2011 by two Korean immigrants, since the opening of our first restaurant in September 2011 we have grown to 57 company-owned restaurants located in California, Arizona, Hawaii, Nevada, Texas, New York, New Jersey, Oregon, Washington, Florida, North Carolina, and South Korea. Our restaurants have modern décor, lively Korean pop music playing in the background and embedded grills in the center of each table. We believe we offer our customers a unique dining experience in which guests cook the majority of the food themselves, reducing the need for chefs and servers and providing a similar customer experience across our restaurants.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growing our number of restaurants in the future. In 2022, our new restaurants generated average Payback Periods of approximately 1.9 years, which equates to an average ROI of over 50%. For the restaurants opened in 2024, the average Payback Periods was 2.3 years, which equates to an average ROI of approximately 45%. Going forward we are targeting for our new restaurant units a Payback Period of less than 3 year, which equates to an ROI of 33% to 40%. Restaurants range in size from 4.7 thousand to 12 thousand square feet and are typically located in high-activity commercial areas.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nine months of 2025, we opened 15 restaurants in the following locations: Orlando, FL, Edison, NJ, Cary, NC, La Jolla, CA and five in Texas (Waco, El Paso, San Antonio, and two in Austin) and six in South Korea; and we closed one restaurant. In addition we have sixteen restaurants under development, for which we expect to complete construction between 2025 and 2026. We will also be offering ready-to-cook meats at over 600 grocery stores in California and Hawaii.</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Events Concerning Our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29, 2023, the Company entered into a loan agreement for a $20.0 million line of credit with PCB Bank. The line of credit matures on September 25, 2026, and bears interest at a variable rate per annum equal to 7.50% as of September 30, 2025. No amounts are outstanding under the line of credit as of September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25, 2025, the Company entered into a loan agreement for a $2.0 million loan with PCB Bank. The loan matures on April 25, 2027, and bears interest at a variable interest rate per annum equal to 7.50% as of September 30, 2025. The Company makes quarterly payments in the amount of $250,000, in addition to monthly interest payments. The balance as of September 30, 2025 was $1.5 million.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29, 2025, the Company entered into a loan agreement for $4.0 million with PCB Bank. The loan matures on July 29, 2027, and bears interest at a variable rate per annum equal to 0.25% over the Wall Street Journal Index rate (prime rate), which equals 7.50% as of September 30, 2025. The balance as of September 30, 2025 was $3.7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assessed our long-lived assets for potential impairment each quarter with the result that no impairment charges were recorded in any of the periods presented.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Performance Indicators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performance of our business, we consider a variety of financial and performance measures. The key measures for determining how our business is performing include Net Income Margin, Adjusted EBITDA, Adjusted EBITDA Margin, Restaurant-Level Adjusted EBITDA, Restaurant-Level Adjusted EBITDA Margin, Adjusted net (loss) income, Adjusted net (loss) income attributable to Class A common stock per share (“EPS”), Average Unit Volumes, comparable restaurant sales growth, the number of restaurant openings and revenue per square foot.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Margin is net income measured under accounting principles generally accepted in the United States of America (“GAAP”) divided by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sz w:val="20"/>
        </w:rPr>
      </w:pPr>
      <w:r>
        <w:rPr>
          <w:rFonts w:ascii="Times New Roman" w:hAnsi="Times New Roman"/>
          <w:color w:val="000000"/>
          <w:sz w:val="20"/>
        </w:rPr>
        <w:t>Adjusted EBITDA represents net income excluding interest expense, net, income taxes, depreciation and amortization, stock-based compensation, employee retention credits, litigation accruals, non-cash lease expense, non-cash lease expense related to pre-opening costs and gain on remeasurement of previously held interest. Adjusted EBITDA Margin is defined as Adjusted EBITDA divided by revenue. Adjusted EBITDA and Adjusted EBITDA Margin are non-GAAP measures intended as supplemental measures of our performance and are neither required by, nor presented in accordance with, GAAP. For a discussion of why we consider these measures to be useful and their material risks and limitations, see “</w:t>
      </w:r>
      <w:r>
        <w:rPr>
          <w:rFonts w:ascii="Times New Roman" w:hAnsi="Times New Roman"/>
          <w:i/>
          <w:color w:val="000000"/>
          <w:sz w:val="20"/>
        </w:rPr>
        <w:t>Non-GAAP Financial Measures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Restaurant-Level Adjusted EBITDA and Restaurant-Level Adjusted EBITDA Margin</w:t>
      </w:r>
    </w:p>
    <w:p>
      <w:pPr>
        <w:pStyle w:val="TextBody"/>
        <w:bidi w:val="0"/>
        <w:spacing w:before="120" w:after="283"/>
        <w:jc w:val="left"/>
        <w:rPr>
          <w:rFonts w:ascii="Times New Roman" w:hAnsi="Times New Roman"/>
          <w:sz w:val="20"/>
        </w:rPr>
      </w:pPr>
      <w:r>
        <w:rPr>
          <w:rFonts w:ascii="Times New Roman" w:hAnsi="Times New Roman"/>
          <w:color w:val="000000"/>
          <w:sz w:val="20"/>
        </w:rPr>
        <w:t>Restaurant-Level Adjusted EBITDA is Income from operations plus adjustments to add-back the following expenses: depreciation and amortization, pre-opening costs, general and administrative expenses, and non-cash lease expense. Restaurant-Level Adjusted EBITDA Margin is the calculation of Restaurant-Level Adjusted EBITDA divided by revenue. For a discussion of why we consider these measures to be useful and their material risks and limitations, see “</w:t>
      </w:r>
      <w:r>
        <w:rPr>
          <w:rFonts w:ascii="Times New Roman" w:hAnsi="Times New Roman"/>
          <w:i/>
          <w:color w:val="000000"/>
          <w:sz w:val="20"/>
        </w:rPr>
        <w:t>Non-GAAP Financial Measures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Net Income and Adjusted 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Net Income represents net (loss) income, adjusted for pre-opening costs, gain on remeasurement of previously held interest and stock-based compensation, and the related tax impact of the adjustments. Adjusted net income per share is defined as adjusted net income divided by the weighted-average number of shares of Class A common stock outstanding for the applicable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Average Unit Volume</w:t>
      </w:r>
    </w:p>
    <w:p>
      <w:pPr>
        <w:pStyle w:val="TextBody"/>
        <w:bidi w:val="0"/>
        <w:spacing w:before="120" w:after="283"/>
        <w:jc w:val="left"/>
        <w:rPr>
          <w:color w:val="000000"/>
        </w:rPr>
      </w:pPr>
      <w:r>
        <w:rPr>
          <w:color w:val="000000"/>
        </w:rPr>
        <w:t>“</w:t>
      </w:r>
      <w:r>
        <w:rPr>
          <w:rFonts w:ascii="Times New Roman" w:hAnsi="Times New Roman"/>
          <w:color w:val="000000"/>
          <w:sz w:val="20"/>
        </w:rPr>
        <w:t>Average Unit Volume” (“AUV”) means the average annual restaurant sales for all restaurants open for a full 18 months before the end of the period measured. AUV is calculated by dividing annual revenue for the year presented for all such restaurants by the total number of restaurants in that base. This measurement allows management to assess changes in consumer spending patterns at our restaurants and the overall performance of our restaurant base.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AUV for the twelve months ended September 30, 2025 and 2024:</w:t>
      </w:r>
    </w:p>
    <w:p>
      <w:pPr>
        <w:pStyle w:val="TextBody"/>
        <w:bidi w:val="0"/>
        <w:jc w:val="left"/>
        <w:rPr/>
      </w:pPr>
      <w:r>
        <w:rPr/>
        <w:t> </w:t>
      </w:r>
    </w:p>
    <w:tbl>
      <w:tblPr>
        <w:tblW w:w="5002" w:type="dxa"/>
        <w:jc w:val="left"/>
        <w:tblInd w:w="0" w:type="dxa"/>
        <w:tblLayout w:type="fixed"/>
        <w:tblCellMar>
          <w:top w:w="28" w:type="dxa"/>
          <w:left w:w="28" w:type="dxa"/>
          <w:bottom w:w="28" w:type="dxa"/>
          <w:right w:w="28" w:type="dxa"/>
        </w:tblCellMar>
      </w:tblPr>
      <w:tblGrid>
        <w:gridCol w:w="1891"/>
        <w:gridCol w:w="146"/>
        <w:gridCol w:w="315"/>
        <w:gridCol w:w="854"/>
        <w:gridCol w:w="218"/>
        <w:gridCol w:w="218"/>
        <w:gridCol w:w="315"/>
        <w:gridCol w:w="854"/>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Unit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Comparable Restaurant Sales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restaurant sales change refers to the change in year-over-year sales for the comparable restaurant base. We include restaurants in the comparable restaurant base that have been in operation for at least 18 full months prior to the accounting period presented. Once a restaurant has been open 18 full months, it must have had continuous operations during both the current period and the prior year period being measured to remain a comparable restaurant. If operations were to be substantially impacted by unusual events that closed the location or significantly changed its capacity, that location is excluded from the comparable sales calculation until it has been operating continuously under normal conditions for both the current period and the prior year comparison period. Since opening new restaurants is expected to be a significant component of our sales change, comparable restaurant sales change is only one measure of how we evaluate our performance.</w:t>
      </w:r>
    </w:p>
    <w:p>
      <w:pPr>
        <w:pStyle w:val="TextBody"/>
        <w:bidi w:val="0"/>
        <w:jc w:val="left"/>
        <w:rPr/>
      </w:pPr>
      <w:r>
        <w:rPr/>
        <w:t> </w:t>
      </w:r>
    </w:p>
    <w:tbl>
      <w:tblPr>
        <w:tblW w:w="9621" w:type="dxa"/>
        <w:jc w:val="left"/>
        <w:tblInd w:w="0" w:type="dxa"/>
        <w:tblLayout w:type="fixed"/>
        <w:tblCellMar>
          <w:top w:w="28" w:type="dxa"/>
          <w:left w:w="28" w:type="dxa"/>
          <w:bottom w:w="28" w:type="dxa"/>
          <w:right w:w="28" w:type="dxa"/>
        </w:tblCellMar>
      </w:tblPr>
      <w:tblGrid>
        <w:gridCol w:w="3346"/>
        <w:gridCol w:w="146"/>
        <w:gridCol w:w="243"/>
        <w:gridCol w:w="701"/>
        <w:gridCol w:w="551"/>
        <w:gridCol w:w="243"/>
        <w:gridCol w:w="243"/>
        <w:gridCol w:w="701"/>
        <w:gridCol w:w="331"/>
        <w:gridCol w:w="146"/>
        <w:gridCol w:w="235"/>
        <w:gridCol w:w="678"/>
        <w:gridCol w:w="533"/>
        <w:gridCol w:w="235"/>
        <w:gridCol w:w="235"/>
        <w:gridCol w:w="678"/>
        <w:gridCol w:w="37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sales change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Number of Restaurant Openings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restaurant openings reflects the number of restaurants opened during a particular reporting period. Before we open new restaurants, we incur pre-opening costs. New restaurants may not be profitable, and their sales performance may not follow historical patterns. The number and timing of restaurant openings has had, and is expected to continue to have, an impact on our results of operations. The following table shows the change in our restaurant base for the three and nine months ended September 30, 2025 and 2024:</w:t>
      </w:r>
    </w:p>
    <w:p>
      <w:pPr>
        <w:pStyle w:val="TextBody"/>
        <w:bidi w:val="0"/>
        <w:jc w:val="left"/>
        <w:rPr/>
      </w:pPr>
      <w:r>
        <w:rPr/>
        <w:t> </w:t>
      </w:r>
    </w:p>
    <w:tbl>
      <w:tblPr>
        <w:tblW w:w="7676" w:type="dxa"/>
        <w:jc w:val="left"/>
        <w:tblInd w:w="0" w:type="dxa"/>
        <w:tblLayout w:type="fixed"/>
        <w:tblCellMar>
          <w:top w:w="28" w:type="dxa"/>
          <w:left w:w="28" w:type="dxa"/>
          <w:bottom w:w="28" w:type="dxa"/>
          <w:right w:w="28" w:type="dxa"/>
        </w:tblCellMar>
      </w:tblPr>
      <w:tblGrid>
        <w:gridCol w:w="1771"/>
        <w:gridCol w:w="146"/>
        <w:gridCol w:w="309"/>
        <w:gridCol w:w="670"/>
        <w:gridCol w:w="352"/>
        <w:gridCol w:w="309"/>
        <w:gridCol w:w="309"/>
        <w:gridCol w:w="734"/>
        <w:gridCol w:w="146"/>
        <w:gridCol w:w="146"/>
        <w:gridCol w:w="299"/>
        <w:gridCol w:w="647"/>
        <w:gridCol w:w="340"/>
        <w:gridCol w:w="299"/>
        <w:gridCol w:w="299"/>
        <w:gridCol w:w="709"/>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Per Square Foot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per square foot means the restaurant sales for all restaurants opened a full 18 months before the end of the 18 month period measured divided by the average square footage of such restaurants. This measurement allows management to assess the effectiveness of our approach to real estate selection and the overall performance of our restaurant base. The following table shows the revenue per square foot for the twelve months ended September 30, 2025 and 2024: </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86"/>
        <w:gridCol w:w="146"/>
        <w:gridCol w:w="376"/>
        <w:gridCol w:w="751"/>
        <w:gridCol w:w="260"/>
        <w:gridCol w:w="260"/>
        <w:gridCol w:w="376"/>
        <w:gridCol w:w="75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September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per square foot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Revenues. </w:t>
      </w:r>
      <w:r>
        <w:rPr>
          <w:rFonts w:ascii="Times New Roman" w:hAnsi="Times New Roman"/>
          <w:color w:val="000000"/>
          <w:sz w:val="20"/>
        </w:rPr>
        <w:t xml:space="preserve">Revenues represent sales of food and beverages in restaurants and, to a minor extent, through our online portal. Restaurant revenues in a given period are directly impacted by the number of restaurants we operate, menu pricing, the number of customers visiting and comparable restaurant sales change. Revenue also includes gift card revenue earned.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Food costs. </w:t>
      </w:r>
      <w:r>
        <w:rPr>
          <w:rFonts w:ascii="Times New Roman" w:hAnsi="Times New Roman"/>
          <w:color w:val="000000"/>
          <w:sz w:val="20"/>
        </w:rPr>
        <w:t>Food costs are variable in nature, change with sales volume and are influenced by menu mix and subject to increases or decreases based upon fluctuations in commodity costs. Another important factor causing fluctuations in food costs includes restaurant management of food waste. Food costs are a substantial expense and are expected to grow proportionally as our sales grow.</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Payroll and benefits. </w:t>
      </w:r>
      <w:r>
        <w:rPr>
          <w:rFonts w:ascii="Times New Roman" w:hAnsi="Times New Roman"/>
          <w:color w:val="000000"/>
          <w:sz w:val="20"/>
        </w:rPr>
        <w:t>Payroll and benefits include all restaurant-level management and hourly labor costs, including wages, employee benefits and payroll taxes. Similar to the food costs that we incur, labor and related expenses at our restaurants are expected to grow proportionally as our sales grow. Factors that influence fluctuations in our labor and related expenses include the volume of sales at our restaurants, minimum wage and payroll tax legislation, payroll rate increases due to labor shortages or inflationary pressures, the frequency and severity of workers’ compensation claims, and healthcare costs.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Occupancy expenses. </w:t>
      </w:r>
      <w:r>
        <w:rPr>
          <w:rFonts w:ascii="Times New Roman" w:hAnsi="Times New Roman"/>
          <w:color w:val="000000"/>
          <w:sz w:val="20"/>
        </w:rPr>
        <w:t>Occupancy expenses include rent, common area maintenance, property insurance and property taxes for all restaurant locations, but exclude any related pre-opening costs.</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Operating expenses include supplies, utilities, repairs and maintenance, and other costs incurred directly at the restaurant level.</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 and amortization expenses</w:t>
      </w:r>
      <w:r>
        <w:rPr>
          <w:rFonts w:ascii="Times New Roman" w:hAnsi="Times New Roman"/>
          <w:color w:val="000000"/>
          <w:sz w:val="20"/>
        </w:rPr>
        <w:t>. Depreciation and amortization expenses are periodic non-cash charges at our restaurants that consist of depreciation of fixed assets, including equipment, software and capitalized leasehold improvements. Depreciation is determined using the straight-line method over the assets’ estimated useful lives, ranging from five to seven years.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Pre-opening costs. </w:t>
      </w:r>
      <w:r>
        <w:rPr>
          <w:rFonts w:ascii="Times New Roman" w:hAnsi="Times New Roman"/>
          <w:color w:val="000000"/>
          <w:sz w:val="20"/>
        </w:rPr>
        <w:t>Pre-opening costs include pre-opening period rent, maintenance, taxes, payroll and benefits costs, advertising and other expenses directly incurred by the new restaurant until the date of the restaurant opening. Pre-opening costs can fluctuate significantly from period to period, based on the number and timing of restaurant openings.</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General and administrative expenses. </w:t>
      </w:r>
      <w:r>
        <w:rPr>
          <w:rFonts w:ascii="Times New Roman" w:hAnsi="Times New Roman"/>
          <w:color w:val="000000"/>
          <w:sz w:val="20"/>
        </w:rPr>
        <w:t>General and administrative expenses include expenses associated with corporate management supervisory functions that support the operations of existing restaurants and development of new restaurants, including compensation and benefits, stock-based compensation, travel expenses, legal and professional fees, marketing costs, information systems, corporate office rent and other related corporate costs. General and administrative expenses are expected to grow as our sales grow, including incremental legal, accounting, insurance and other expenses incurred as a public company including becoming compliant with the requirements of Sarbanes-Oxley and addressing our internal control weaknesses through implementing new accounting systems and hiring additional staff.</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Gain on lease termination. </w:t>
      </w:r>
      <w:r>
        <w:rPr>
          <w:rFonts w:ascii="Times New Roman" w:hAnsi="Times New Roman"/>
          <w:color w:val="000000"/>
          <w:sz w:val="20"/>
        </w:rPr>
        <w:t>During the third quarter of 2025, we recorded lease termination income of $0.5 million related to the closure of one restaurant.</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Depreciation and amortization - corporate. </w:t>
      </w:r>
      <w:r>
        <w:rPr>
          <w:rFonts w:ascii="Times New Roman" w:hAnsi="Times New Roman"/>
          <w:color w:val="000000"/>
          <w:sz w:val="20"/>
        </w:rPr>
        <w:t>These are periodic non-cash charges at the corporate level that consist of depreciation of fixed assets, including equipment, information systems software and capitalized leasehold improvements, if any. Depreciation is determined using the straight-line method over the assets’ estimated useful lives, ranging from five to seven years.</w:t>
      </w:r>
    </w:p>
    <w:p>
      <w:pPr>
        <w:pStyle w:val="TextBody"/>
        <w:bidi w:val="0"/>
        <w:spacing w:before="240" w:after="283"/>
        <w:jc w:val="left"/>
        <w:rPr>
          <w:rFonts w:ascii="Times New Roman" w:hAnsi="Times New Roman"/>
          <w:sz w:val="20"/>
        </w:rPr>
      </w:pPr>
      <w:r>
        <w:rPr>
          <w:rFonts w:ascii="Times New Roman" w:hAnsi="Times New Roman"/>
          <w:b/>
          <w:i/>
          <w:color w:val="000000"/>
          <w:sz w:val="20"/>
        </w:rPr>
        <w:t>Employee retention credits</w:t>
      </w:r>
      <w:r>
        <w:rPr>
          <w:rFonts w:ascii="Times New Roman" w:hAnsi="Times New Roman"/>
          <w:color w:val="000000"/>
          <w:sz w:val="20"/>
        </w:rPr>
        <w:t>. Employee retention credits include refundable credits recognized under the provisions of the CARES Act and extension thereof. During the three and nine months ended September 30, 2025 and 2024, $313 thousand and $200 thousand of these credits were received and recorded in total for each period,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Gain on remeasurement of previously held interest</w:t>
      </w:r>
      <w:r>
        <w:rPr>
          <w:rFonts w:ascii="Times New Roman" w:hAnsi="Times New Roman"/>
          <w:b/>
          <w:color w:val="000000"/>
          <w:sz w:val="20"/>
        </w:rPr>
        <w:t>.</w:t>
      </w:r>
      <w:r>
        <w:rPr>
          <w:rFonts w:ascii="Times New Roman" w:hAnsi="Times New Roman"/>
          <w:color w:val="000000"/>
          <w:sz w:val="20"/>
        </w:rPr>
        <w:t xml:space="preserve"> Consists of a one-time gain from the business acquisition of GKBH (a restaurant in Hawaii) during the first quarter of 2024.</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Other loss. </w:t>
      </w:r>
      <w:r>
        <w:rPr>
          <w:rFonts w:ascii="Times New Roman" w:hAnsi="Times New Roman"/>
          <w:color w:val="000000"/>
          <w:sz w:val="20"/>
        </w:rPr>
        <w:t>Consists of legal settlement accrual.</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Gain (loss) on foreign currency. </w:t>
      </w:r>
      <w:r>
        <w:rPr>
          <w:rFonts w:ascii="Times New Roman" w:hAnsi="Times New Roman"/>
          <w:color w:val="000000"/>
          <w:sz w:val="20"/>
        </w:rPr>
        <w:t xml:space="preserve">Represents the foreign currency transaction gains and losses in South Korea.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Interest income (expense), net. </w:t>
      </w:r>
      <w:r>
        <w:rPr>
          <w:rFonts w:ascii="Times New Roman" w:hAnsi="Times New Roman"/>
          <w:color w:val="000000"/>
          <w:sz w:val="20"/>
        </w:rPr>
        <w:t xml:space="preserve">Interest income, net reflects income earned on deposits, net of cash and non-cash charges related to our outstanding debt and finance lease obligations.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Equity in loss of equity method investee. </w:t>
      </w:r>
      <w:r>
        <w:rPr>
          <w:rFonts w:ascii="Times New Roman" w:hAnsi="Times New Roman"/>
          <w:color w:val="000000"/>
          <w:sz w:val="20"/>
        </w:rPr>
        <w:t>Equity in loss of equity method investee reflects our 50% ownership in GKBH that was accounted for using the equity method until the date of acquisition on February 18, 2024.</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(Benefit) provision for income taxes. </w:t>
      </w:r>
      <w:r>
        <w:rPr>
          <w:rFonts w:ascii="Times New Roman" w:hAnsi="Times New Roman"/>
          <w:color w:val="000000"/>
          <w:sz w:val="20"/>
        </w:rPr>
        <w:t>Represents federal, state, and local current and deferred income tax (benefit) expense.</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Results of Operations for the Three Months Ended September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selected comparative results of operations for the three months ended September 30, 2025 and 2024. Our financial results for these periods are not necessarily indicative of the financial results that we will achieve in future periods.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142"/>
        <w:gridCol w:w="146"/>
        <w:gridCol w:w="249"/>
        <w:gridCol w:w="801"/>
        <w:gridCol w:w="196"/>
        <w:gridCol w:w="172"/>
        <w:gridCol w:w="249"/>
        <w:gridCol w:w="801"/>
        <w:gridCol w:w="146"/>
        <w:gridCol w:w="146"/>
        <w:gridCol w:w="211"/>
        <w:gridCol w:w="631"/>
        <w:gridCol w:w="166"/>
        <w:gridCol w:w="146"/>
        <w:gridCol w:w="146"/>
        <w:gridCol w:w="736"/>
        <w:gridCol w:w="1121"/>
      </w:tblGrid>
      <w:tr>
        <w:trPr/>
        <w:tc>
          <w:tcPr>
            <w:tcW w:w="4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lease terminations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right"/>
              <w:rPr/>
            </w:pPr>
            <w:r>
              <w:rPr/>
              <w:t> </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(4348.9</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(1472.9</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(2246.7</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(2227.4</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 attributable to GEN Restaurant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(2363.9</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73" w:type="dxa"/>
        <w:jc w:val="left"/>
        <w:tblInd w:w="0" w:type="dxa"/>
        <w:tblLayout w:type="fixed"/>
        <w:tblCellMar>
          <w:top w:w="28" w:type="dxa"/>
          <w:left w:w="28" w:type="dxa"/>
          <w:bottom w:w="28" w:type="dxa"/>
          <w:right w:w="28" w:type="dxa"/>
        </w:tblCellMar>
      </w:tblPr>
      <w:tblGrid>
        <w:gridCol w:w="5026"/>
        <w:gridCol w:w="146"/>
        <w:gridCol w:w="217"/>
        <w:gridCol w:w="849"/>
        <w:gridCol w:w="492"/>
        <w:gridCol w:w="217"/>
        <w:gridCol w:w="217"/>
        <w:gridCol w:w="693"/>
        <w:gridCol w:w="1116"/>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lease terminations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GEN Restaurant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Revenues were $50.4 million for the three months ended September 30, 2025, compared to $49.1 million for the three months ended September 30, 2024, an increase of $1.3 million, or 2.7%. This reflects revenue increases due to having 57 restaurants open in the three months ended September 30, 2025 compared to 41 restaurants open in the three months ended September 30, 2024.</w:t>
      </w:r>
    </w:p>
    <w:p>
      <w:pPr>
        <w:pStyle w:val="TextBody"/>
        <w:bidi w:val="0"/>
        <w:spacing w:before="240" w:after="283"/>
        <w:jc w:val="left"/>
        <w:rPr>
          <w:rFonts w:ascii="Times New Roman" w:hAnsi="Times New Roman"/>
          <w:sz w:val="20"/>
        </w:rPr>
      </w:pPr>
      <w:r>
        <w:rPr>
          <w:rFonts w:ascii="Times New Roman" w:hAnsi="Times New Roman"/>
          <w:i/>
          <w:color w:val="000000"/>
          <w:sz w:val="20"/>
        </w:rPr>
        <w:t>Food costs</w:t>
      </w:r>
      <w:r>
        <w:rPr>
          <w:rFonts w:ascii="Times New Roman" w:hAnsi="Times New Roman"/>
          <w:color w:val="000000"/>
          <w:sz w:val="20"/>
        </w:rPr>
        <w:t>. Food costs were $17.5 million for the three months ended September 30, 2025, compared to $15.4 million for the three months ended September 30, 2024, an increase of $2.0 million, or 13.6%. The increase in food costs reflects inflationary cost increases and more restaurants in operation. As a percentage of revenue, food costs increased to 34.8% from 31.4%.</w:t>
      </w:r>
    </w:p>
    <w:p>
      <w:pPr>
        <w:pStyle w:val="TextBody"/>
        <w:bidi w:val="0"/>
        <w:spacing w:before="240" w:after="283"/>
        <w:jc w:val="left"/>
        <w:rPr>
          <w:rFonts w:ascii="Times New Roman" w:hAnsi="Times New Roman"/>
          <w:sz w:val="20"/>
        </w:rPr>
      </w:pPr>
      <w:r>
        <w:rPr>
          <w:rFonts w:ascii="Times New Roman" w:hAnsi="Times New Roman"/>
          <w:i/>
          <w:color w:val="000000"/>
          <w:sz w:val="20"/>
        </w:rPr>
        <w:t>Payroll and benefits</w:t>
      </w:r>
      <w:r>
        <w:rPr>
          <w:rFonts w:ascii="Times New Roman" w:hAnsi="Times New Roman"/>
          <w:color w:val="000000"/>
          <w:sz w:val="20"/>
        </w:rPr>
        <w:t>. Payroll and benefits costs were $14.4 million for the three months ended September 30, 2025, compared to $15.0 million for the three months ended September 30, 2024, a decrease of $0.6 million, or 3.9%, as the Company implemented labor efficiencies. As a percentage of revenue, payroll and benefits costs decreased from 30.5% to 28.5%.</w:t>
      </w:r>
    </w:p>
    <w:p>
      <w:pPr>
        <w:pStyle w:val="TextBody"/>
        <w:bidi w:val="0"/>
        <w:spacing w:before="240" w:after="283"/>
        <w:jc w:val="left"/>
        <w:rPr>
          <w:rFonts w:ascii="Times New Roman" w:hAnsi="Times New Roman"/>
          <w:sz w:val="20"/>
        </w:rPr>
      </w:pPr>
      <w:r>
        <w:rPr>
          <w:rFonts w:ascii="Times New Roman" w:hAnsi="Times New Roman"/>
          <w:i/>
          <w:color w:val="000000"/>
          <w:sz w:val="20"/>
        </w:rPr>
        <w:t>Occupancy expenses</w:t>
      </w:r>
      <w:r>
        <w:rPr>
          <w:rFonts w:ascii="Times New Roman" w:hAnsi="Times New Roman"/>
          <w:color w:val="000000"/>
          <w:sz w:val="20"/>
        </w:rPr>
        <w:t>. Occupancy expenses were $5.4 million for the three months ended September 30, 2025 compared to $4.1 million for the three months ended September 30, 2024, an increase of $1.3 million, or 31.9%. The increase in occupancy expenses reflects the addition of 16 new locations. As a percentage of revenue, occupancy expenses were 10.8% in the three months ended September 30, 2025 compared to 8.4% in the three months ended September 30, 2024.</w:t>
      </w:r>
    </w:p>
    <w:p>
      <w:pPr>
        <w:pStyle w:val="TextBody"/>
        <w:bidi w:val="0"/>
        <w:spacing w:before="240" w:after="283"/>
        <w:jc w:val="left"/>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Operating expenses were $6.2 million for the three months ended September 30, 2025 compared to $5.7 million for the three months ended September 30, 2024, an increase of $0.4 million, or 7.8%, as expenses increased to support revenue growth and reflected inflationary cost increases. As a percentage of revenue, operating expenses were 12.2% in the three months ended September 30, 2025 and 11.7% in the three months ended September 30, 2024. </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Depreciation and amortization expenses were $2.3 million for the three months ended September 30, 2025 and $1.7 million for the three months ended September 30, 2024. As a percentage of revenue, depreciation and amortization expenses at the restaurant-level were 4.5% during the three months ended September 30, 2025 and 3.5% during the three months ended September 30, 2024, with the increase related to more restaurants in operation. </w:t>
      </w:r>
    </w:p>
    <w:p>
      <w:pPr>
        <w:pStyle w:val="TextBody"/>
        <w:bidi w:val="0"/>
        <w:spacing w:before="240" w:after="283"/>
        <w:jc w:val="left"/>
        <w:rPr>
          <w:rFonts w:ascii="Times New Roman" w:hAnsi="Times New Roman"/>
          <w:sz w:val="20"/>
        </w:rPr>
      </w:pPr>
      <w:r>
        <w:rPr>
          <w:rFonts w:ascii="Times New Roman" w:hAnsi="Times New Roman"/>
          <w:i/>
          <w:color w:val="000000"/>
          <w:sz w:val="20"/>
        </w:rPr>
        <w:t>Pre-opening costs</w:t>
      </w:r>
      <w:r>
        <w:rPr>
          <w:rFonts w:ascii="Times New Roman" w:hAnsi="Times New Roman"/>
          <w:color w:val="000000"/>
          <w:sz w:val="20"/>
        </w:rPr>
        <w:t>. Pre-opening costs were $2.3 million for the three months ended September 30, 2025 compared to $1.8 million for the three months ended September 30, 2024.This represents eight additional restaurants in development during the three months ended September 30, 2025 as compared to the three months ended September 30, 2024.</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General and administrative expenses were $6.5 million for the three months ended September 30, 2025 compared to $5.2 million for the three months ended September 30, 2024, an increase of $1.3 million, or 23.8%. The increase is primarily due to additional marketing and personnel costs for the expansion of restaurants in development. As a percentage of revenue, general and administrative expenses increased from 10.6% for the three months ended September 30, 2024 to 12.8% for the three months ended September 30, 2025.</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Gain on lease termination. </w:t>
      </w:r>
      <w:r>
        <w:rPr>
          <w:rFonts w:ascii="Times New Roman" w:hAnsi="Times New Roman"/>
          <w:color w:val="000000"/>
          <w:sz w:val="20"/>
        </w:rPr>
        <w:t>During the third quarter of 2025, we recorded lease termination income of $0.5 million related to the closure of one restaurant.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loss. </w:t>
      </w:r>
      <w:r>
        <w:rPr>
          <w:rFonts w:ascii="Times New Roman" w:hAnsi="Times New Roman"/>
          <w:color w:val="000000"/>
          <w:sz w:val="20"/>
        </w:rPr>
        <w:t xml:space="preserve">Consists of a legal settlement accrual in each period.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(expense), net</w:t>
      </w:r>
      <w:r>
        <w:rPr>
          <w:rFonts w:ascii="Times New Roman" w:hAnsi="Times New Roman"/>
          <w:color w:val="000000"/>
          <w:sz w:val="20"/>
        </w:rPr>
        <w:t xml:space="preserve">. During the three months ended September 30, 2025, interest expense, net was $121 thousand compared to $196 thousand of interest income, net during the three months ended September 30, 2024. The net interest income was primarily due to the interest income earned on the proceeds from the IPO transaction and the reduction of proceeds used for development of new restaurants.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for the Nine Months Ended September 30, 2025 and September 30,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08"/>
        <w:gridCol w:w="146"/>
        <w:gridCol w:w="228"/>
        <w:gridCol w:w="846"/>
        <w:gridCol w:w="179"/>
        <w:gridCol w:w="158"/>
        <w:gridCol w:w="228"/>
        <w:gridCol w:w="846"/>
        <w:gridCol w:w="166"/>
        <w:gridCol w:w="146"/>
        <w:gridCol w:w="211"/>
        <w:gridCol w:w="736"/>
        <w:gridCol w:w="166"/>
        <w:gridCol w:w="146"/>
        <w:gridCol w:w="146"/>
        <w:gridCol w:w="631"/>
        <w:gridCol w:w="1118"/>
      </w:tblGrid>
      <w:tr>
        <w:trPr/>
        <w:tc>
          <w:tcPr>
            <w:tcW w:w="4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1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1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151,712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lease terminations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170,591</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retention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remeasurement of previously held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 of equity method investee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1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81" w:type="dxa"/>
        <w:jc w:val="left"/>
        <w:tblInd w:w="0" w:type="dxa"/>
        <w:tblLayout w:type="fixed"/>
        <w:tblCellMar>
          <w:top w:w="28" w:type="dxa"/>
          <w:left w:w="28" w:type="dxa"/>
          <w:bottom w:w="28" w:type="dxa"/>
          <w:right w:w="28" w:type="dxa"/>
        </w:tblCellMar>
      </w:tblPr>
      <w:tblGrid>
        <w:gridCol w:w="5426"/>
        <w:gridCol w:w="146"/>
        <w:gridCol w:w="198"/>
        <w:gridCol w:w="775"/>
        <w:gridCol w:w="449"/>
        <w:gridCol w:w="198"/>
        <w:gridCol w:w="198"/>
        <w:gridCol w:w="775"/>
        <w:gridCol w:w="1116"/>
      </w:tblGrid>
      <w:tr>
        <w:trPr/>
        <w:tc>
          <w:tcPr>
            <w:tcW w:w="5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lease terminations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retention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remeasurement of previously held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loss of equity method investee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Revenues. </w:t>
      </w:r>
      <w:r>
        <w:rPr>
          <w:rFonts w:ascii="Times New Roman" w:hAnsi="Times New Roman"/>
          <w:color w:val="000000"/>
          <w:sz w:val="20"/>
        </w:rPr>
        <w:t>Revenues were $162.8 million for the nine months ended September 30, 2025, compared to $153.7 million for the nine months ended September 30, 2024, an increase of $9.0 million, or 5.9%. This reflects increased revenue from having 16 additional restaurants open in the nine months ended September 30, 2025 compared to the nine months ended September 30, 2024.</w:t>
      </w:r>
    </w:p>
    <w:p>
      <w:pPr>
        <w:pStyle w:val="TextBody"/>
        <w:bidi w:val="0"/>
        <w:spacing w:before="240" w:after="283"/>
        <w:jc w:val="left"/>
        <w:rPr>
          <w:rFonts w:ascii="Times New Roman" w:hAnsi="Times New Roman"/>
          <w:sz w:val="20"/>
        </w:rPr>
      </w:pPr>
      <w:r>
        <w:rPr>
          <w:rFonts w:ascii="Times New Roman" w:hAnsi="Times New Roman"/>
          <w:i/>
          <w:color w:val="000000"/>
          <w:sz w:val="20"/>
        </w:rPr>
        <w:t>Food costs</w:t>
      </w:r>
      <w:r>
        <w:rPr>
          <w:rFonts w:ascii="Times New Roman" w:hAnsi="Times New Roman"/>
          <w:color w:val="000000"/>
          <w:sz w:val="20"/>
        </w:rPr>
        <w:t>. Food costs were $55.4 million for the nine months ended September 30, 2025, compared to $50.1 million for the nine months ended September 30, 2024, an increase of $5.3 million, or 10.6%. The increase in food costs reflects inflationary cost increases and more restaurants in operation. As a percentage of revenue, food costs increased from 32.6% to 34.0%.</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Payroll and benefits. </w:t>
      </w:r>
      <w:r>
        <w:rPr>
          <w:rFonts w:ascii="Times New Roman" w:hAnsi="Times New Roman"/>
          <w:color w:val="000000"/>
          <w:sz w:val="20"/>
        </w:rPr>
        <w:t>Payroll and benefits costs were $49.1 million for the nine months ended September 30, 2025, compared to $47.5 million for the nine months ended September 30, 2024, an increase of $1.6 million, or 3.5%. The increase in payroll and benefits costs reflects the staffing needs to support the higher customer volumes from new and existing restaurants as well as inflationary payroll increases. As a percentage of revenue, payroll and benefits costs decreased from 30.9% to 30.2%.</w:t>
      </w:r>
    </w:p>
    <w:p>
      <w:pPr>
        <w:pStyle w:val="TextBody"/>
        <w:bidi w:val="0"/>
        <w:spacing w:before="240" w:after="283"/>
        <w:jc w:val="left"/>
        <w:rPr>
          <w:rFonts w:ascii="Times New Roman" w:hAnsi="Times New Roman"/>
          <w:sz w:val="20"/>
        </w:rPr>
      </w:pPr>
      <w:r>
        <w:rPr>
          <w:rFonts w:ascii="Times New Roman" w:hAnsi="Times New Roman"/>
          <w:i/>
          <w:color w:val="000000"/>
          <w:sz w:val="20"/>
        </w:rPr>
        <w:t>Occupancy expenses.</w:t>
      </w:r>
      <w:r>
        <w:rPr>
          <w:rFonts w:ascii="Times New Roman" w:hAnsi="Times New Roman"/>
          <w:color w:val="000000"/>
          <w:sz w:val="20"/>
        </w:rPr>
        <w:t xml:space="preserve"> Occupancy expenses were $15.6 million for the nine months ended September 30, 2025 compared to $12.8 million for the nine months ended September 30, 2024, an increase of $2.8 million, or 22.2%. The increase in occupancy expenses reflects the addition of 15 new locations. As a percentage of revenue, occupancy expenses were 9.6% in the nine months ended September 30, 2025 compared to 8.3% in the nine months ended September 30,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Operating expenses were $18.0 million for the nine months ended September 30, 2025 compared to $16.2 million for the nine months ended September 30, 2024, an increase of $1.8 million, or 11.2%, as expenses increased to support revenue growth and reflected inflationary costs increases. As a percentage of revenue, operating expenses were 11.1% for the nine months ended September 30, 2025 compared to 10.5% for the nine months ended September 30, 2024.</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Depreciation and amortization expenses were $6.5 million for the nine months ended September 30, 2025 and $4.9 million for the nine months ended September 30, 2024. As a percentage of revenue, depreciation and amortization expenses at the restaurant-level were 4.0% during the nine months ended September 30, 2025 and 3.2% during the nine months ended September 30, 2024, with the increase related to more restaurants in operation.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Pre-opening costs. </w:t>
      </w:r>
      <w:r>
        <w:rPr>
          <w:rFonts w:ascii="Times New Roman" w:hAnsi="Times New Roman"/>
          <w:color w:val="000000"/>
          <w:sz w:val="20"/>
        </w:rPr>
        <w:t>Pre-opening costs were $7.0 million for the nine months ended September 30, 2025 compared to $5.3 million for the nine months ended September 30, 2024. This increase was due to more restaurants under development in 2025 than in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were $19.2 million for the nine months ended September 30, 2025 compared to $15.0 million for the nine months ended September 30, 2024, an increase of $4.3 million, or 28.7%. The increase is primarily due to additional marketing and personnel costs in expansion of restaurants in development.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Gain on lease termination. </w:t>
      </w:r>
      <w:r>
        <w:rPr>
          <w:rFonts w:ascii="Times New Roman" w:hAnsi="Times New Roman"/>
          <w:color w:val="000000"/>
          <w:sz w:val="20"/>
        </w:rPr>
        <w:t>During the third quarter of 2025, we recorded lease termination income of $0.5 million related to the closure of one restaurant.</w:t>
      </w:r>
    </w:p>
    <w:p>
      <w:pPr>
        <w:pStyle w:val="TextBody"/>
        <w:bidi w:val="0"/>
        <w:spacing w:before="240" w:after="283"/>
        <w:jc w:val="left"/>
        <w:rPr>
          <w:rFonts w:ascii="Times New Roman" w:hAnsi="Times New Roman"/>
          <w:sz w:val="20"/>
        </w:rPr>
      </w:pPr>
      <w:r>
        <w:rPr>
          <w:rFonts w:ascii="Times New Roman" w:hAnsi="Times New Roman"/>
          <w:i/>
          <w:color w:val="000000"/>
          <w:sz w:val="20"/>
        </w:rPr>
        <w:t>Employee retention credits</w:t>
      </w:r>
      <w:r>
        <w:rPr>
          <w:rFonts w:ascii="Times New Roman" w:hAnsi="Times New Roman"/>
          <w:color w:val="000000"/>
          <w:sz w:val="20"/>
        </w:rPr>
        <w:t xml:space="preserve">. During the nine months ended September 30, 2025 and 2024, we received approximately $0.3 million and $0.2 million, respectively, in employee retention credits from the IRS.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Gain on remeasurement of previously held interest. </w:t>
      </w:r>
      <w:r>
        <w:rPr>
          <w:rFonts w:ascii="Times New Roman" w:hAnsi="Times New Roman"/>
          <w:color w:val="000000"/>
          <w:sz w:val="20"/>
        </w:rPr>
        <w:t>This reflects the business acquisition of GKBH (a restaurant in Hawaii) during the first quarter of 2024.</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loss. </w:t>
      </w:r>
      <w:r>
        <w:rPr>
          <w:rFonts w:ascii="Times New Roman" w:hAnsi="Times New Roman"/>
          <w:color w:val="000000"/>
          <w:sz w:val="20"/>
        </w:rPr>
        <w:t xml:space="preserve">Consists of a legal settlement accrual in each period.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(expense), net</w:t>
      </w:r>
      <w:r>
        <w:rPr>
          <w:rFonts w:ascii="Times New Roman" w:hAnsi="Times New Roman"/>
          <w:color w:val="000000"/>
          <w:sz w:val="20"/>
        </w:rPr>
        <w:t xml:space="preserve">. During the nine months ended September 30, 2025 and 2024, interest income was $7 thousand and $0.7 million, respectively . </w:t>
      </w:r>
    </w:p>
    <w:p>
      <w:pPr>
        <w:pStyle w:val="TextBody"/>
        <w:bidi w:val="0"/>
        <w:spacing w:before="240" w:after="283"/>
        <w:jc w:val="left"/>
        <w:rPr>
          <w:rFonts w:ascii="Times New Roman" w:hAnsi="Times New Roman"/>
          <w:sz w:val="20"/>
        </w:rPr>
      </w:pPr>
      <w:r>
        <w:rPr>
          <w:rFonts w:ascii="Times New Roman" w:hAnsi="Times New Roman"/>
          <w:i/>
          <w:color w:val="000000"/>
          <w:sz w:val="20"/>
        </w:rPr>
        <w:t>Equity in loss of equity method investee</w:t>
      </w:r>
      <w:r>
        <w:rPr>
          <w:rFonts w:ascii="Times New Roman" w:hAnsi="Times New Roman"/>
          <w:color w:val="000000"/>
          <w:sz w:val="20"/>
        </w:rPr>
        <w:t>. We did not have any equity investments during 2025. We had $17 thousand in equity in loss of equity method investee during the nine months ended September 30, 2024. During February 2024, the remaining ownership interest in GKBH was acquired and operations were consolidated as of the date of acquisition, February 18, 2024.</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represents net income excluding interest (income) expense, income taxes, depreciation and amortization, and also excludes non-recurring and certain other non-cash items, such as stock-based compensation expense, employee retention credits, litigation accruals, non-cash lease expense, non-cash lease expense related to pre-opening costs and gain on remeasurement of previously held interest. Adjusted EBITDA Margin is defined as Adjusted EBITDA divided by revenue. We believe that Adjusted EBITDA and Adjusted EBITDA Margin provide useful information to management and investors regarding certain financial and business trends relating to our financial condition and operating results, as these measures reflect normal recurring cash operating expenses essential to supporting the operations of our company. We expect Adjusted EBITDA to increase with the number of new restaurants we open and with comparable restaurant sales growth.</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net income to Adjusted EBITDA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4138"/>
        <w:gridCol w:w="146"/>
        <w:gridCol w:w="257"/>
        <w:gridCol w:w="771"/>
        <w:gridCol w:w="432"/>
        <w:gridCol w:w="178"/>
        <w:gridCol w:w="257"/>
        <w:gridCol w:w="697"/>
        <w:gridCol w:w="301"/>
        <w:gridCol w:w="146"/>
        <w:gridCol w:w="239"/>
        <w:gridCol w:w="717"/>
        <w:gridCol w:w="402"/>
        <w:gridCol w:w="165"/>
        <w:gridCol w:w="239"/>
        <w:gridCol w:w="768"/>
        <w:gridCol w:w="352"/>
      </w:tblGrid>
      <w:tr>
        <w:trPr/>
        <w:tc>
          <w:tcPr>
            <w:tcW w:w="4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(1,460</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10,420</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(0.8</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retention credits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accrual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 related to pre-opening costs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remeasurement of previously held interest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3,329</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11,276</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Stock-based compensation expense: During all periods presented, we incurred expenses related to the granting of restricted stock units to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retention credits: These are refundable tax credits against certain employment taxes recognized under the CARES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accrual: This is an expense related to a specific, one-time, litigation claim. See “Note 11 - Commitments and Contingencies” in the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This reflects the extent to which lease expense is greater than or less than contractual rent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lease expense related to pre-opening costs: Cost for restaurants in development in which the lease expense is greater than the contractual rent paid.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 on remeasurement of previously held interest: One-time, non-recurring gain on the acquisition of GKBH restaurants.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Restaurant-Level Adjusted EBITDA and Restaurant-Level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Restaurant-Level Adjusted EBITDA as Income (loss) from operations plus adjustments to add-back the following expenses: depreciation and amortization, pre-opening costs, general and administrative expense, and non-cash lease expense. We define Restaurant-Level Adjusted EBITDA Margin as Restaurant-Level Adjusted EBITDA divided by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with Adjusted EBITDA and Adjusted EBITDA Margin, we believe that Restaurant-Level Adjusted EBITDA and Restaurant-Level Adjusted EBITDA Margin provide useful information to management and investors regarding certain financial and business trends relating to our financial condition and operating results, as these measures depict normal, recurring cash operating expenses essential to supporting the operations of our restaurants. We expect Restaurant-Level Adjusted EBITDA to increase in proportion to the number of new restaurants we open and with increases in comparable restaurant sales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you should be aware that Restaurant-Level Adjusted EBITDA and Restaurant-Level Adjusted EBITDA Margin are financial measures that are not indicative of overall results for our company, and Restaurant-Level Adjusted EBITDA and Restaurant-Level Adjusted EBITDA Margin do not accrue directly to the benefit of stockholders because of corporate-level and non-cash expenses excluded from such measures.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reconciles Income from Operations to Restaurant-Level Adjusted EBITDA for the three and nine months ended September 30, 2025 and 2024:</w:t>
      </w:r>
    </w:p>
    <w:p>
      <w:pPr>
        <w:pStyle w:val="TextBody"/>
        <w:bidi w:val="0"/>
        <w:spacing w:before="240" w:after="283"/>
        <w:jc w:val="left"/>
        <w:rPr/>
      </w:pPr>
      <w:r>
        <w:rPr/>
        <w:t> </w:t>
      </w:r>
    </w:p>
    <w:tbl>
      <w:tblPr>
        <w:tblW w:w="9996" w:type="dxa"/>
        <w:jc w:val="left"/>
        <w:tblInd w:w="0" w:type="dxa"/>
        <w:tblLayout w:type="fixed"/>
        <w:tblCellMar>
          <w:top w:w="28" w:type="dxa"/>
          <w:left w:w="28" w:type="dxa"/>
          <w:bottom w:w="28" w:type="dxa"/>
          <w:right w:w="28" w:type="dxa"/>
        </w:tblCellMar>
      </w:tblPr>
      <w:tblGrid>
        <w:gridCol w:w="3781"/>
        <w:gridCol w:w="146"/>
        <w:gridCol w:w="277"/>
        <w:gridCol w:w="751"/>
        <w:gridCol w:w="435"/>
        <w:gridCol w:w="192"/>
        <w:gridCol w:w="277"/>
        <w:gridCol w:w="751"/>
        <w:gridCol w:w="301"/>
        <w:gridCol w:w="146"/>
        <w:gridCol w:w="243"/>
        <w:gridCol w:w="779"/>
        <w:gridCol w:w="381"/>
        <w:gridCol w:w="168"/>
        <w:gridCol w:w="243"/>
        <w:gridCol w:w="779"/>
        <w:gridCol w:w="34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(3,739</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Margin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6,602</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19,239</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Restaurant-Level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7,555</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25,473</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27,636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Restaurant-Level 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Adjusted EBITDA Margin, Adjusted net (loss) income, Adjusted net (loss) income attributable to Class A common stock per share, Restaurant-Level Adjusted EBITDA, and Restaurant-Level Adjusted EBITDA Margin are non-GAAP measures intended as supplemental measures of our performance and are neither required by, nor presented in accordance with GAAP. Our presentation of these measures should not be construed as an inference that our future results will be unaffected by unusual or non-recurring items. Our computation of Adjusted EBITDA, Adjusted EBITDA Margin, Adjusted net income, Adjusted net (loss) income attributable to Class A common stock per share, Restaurant-Level Adjusted EBITDA and Restaurant-Level Adjusted EBITDA Margin may not be comparable to other similarly titled measures presented by other companies, because all companies may not calculate Adjusted EBITDA, Adjusted EBITDA Margin, Adjusted net (loss) income, Adjusted net (loss) income attributable to Class A common stock per share, Restaurant-Level Adjusted EBITDA, and Restaurant-Level Adjusted EBITDA Margin in the same fashion. These non-GAAP financial measures have limitations as analytical tools, and you should not consider them in isolation or as a substitute for analysis of our results as reported under GAAP.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reconcile net (loss) income to Adjusted net income and Adjusted net income per share for the three and nine months ended September 30, 2025 and 2024:</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08"/>
        <w:gridCol w:w="146"/>
        <w:gridCol w:w="248"/>
        <w:gridCol w:w="742"/>
        <w:gridCol w:w="195"/>
        <w:gridCol w:w="171"/>
        <w:gridCol w:w="248"/>
        <w:gridCol w:w="672"/>
        <w:gridCol w:w="166"/>
        <w:gridCol w:w="146"/>
        <w:gridCol w:w="239"/>
        <w:gridCol w:w="717"/>
        <w:gridCol w:w="188"/>
        <w:gridCol w:w="165"/>
        <w:gridCol w:w="239"/>
        <w:gridCol w:w="717"/>
        <w:gridCol w:w="598"/>
      </w:tblGrid>
      <w:tr>
        <w:trPr/>
        <w:tc>
          <w:tcPr>
            <w:tcW w:w="4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5,929</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remeasurement of previously held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impact of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Adjusted 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(loss) income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Net (loss) income attributable to Class A common stock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Net (loss) income per share of Class A common stock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had $4.8 million of cash and ($27.3) million of working capital deficit, which is calculated by subtracting current liabilities from current assets, compared with $23.7 million in cash and ($7.2) million of working capital deficit as of December 31, 2024. On June 30, 2023, we completed the IPO of 4,140,000 shares of Class A common stock. The public offering price per share sold in the IPO was $12.00 per share, resulting in aggregate net proceeds of approximately $46.2 million after deducting the underwriting discounts and commission and offering expenses payable.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uses of cash are for operational expenditures and capital investments, including new restaurants, costs incurred for restaurant remodels and restaurant equipment and fixtures. During the first nine months of 2025, we opened 15 new restaurants which were all self-funded. There is no guarantee that if we need to raise any additional capital that we will be able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cash provided by operating activities and cash on hand will be sufficient to fund our lease obligations, capital expenditures and working capital needs for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IPO transaction, GEN Inc. became a holding company with no operations of its own. Accordingly, GEN Inc. remains dependent on distributions from GEN LLC to pay its taxes, its obligations under the Tax Receivable Agreement and other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IPO and related transactions, certain members of GEN LLC received the right to receive future payments pursuant to the Tax Receivable Agreement. The amount payable under the Tax Receivable Agreement will be based on an annual calculation of the reduction in our U.S. federal, state and local taxes resulting from the utilization of certain tax benefits resulting from sales and exchanges by certain members of GEN LLC. We expect that payments that we may be required to make under the Tax Receivable Agreement may be substantial. Assuming no material changes in the relevant tax laws and that we earn sufficient taxable income to realize all tax benefits that are subject to the Tax Receivable Agreement, we expect that the reduction in tax payments for us associated with the federal, state and local tax benefits described above would aggregate to approximately $117.2 million through 2037. Under such scenario we would be required to pay certain members of GEN LLC 85% of such amount, or $99.6 million through 2037.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actual amounts may materially differ from these hypothetical amounts as potential future reductions in tax payments for us and Tax Receivable Agreement payments by us will be calculated using prevailing tax rates applicable to us over the life of the Tax Receivable Agreement and will be dependent on us generating sufficient future taxable income to realize the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reasonably estimate future annual payments under the Tax Receivable Agreement given the difficulty in determining those estimates as they are dependent on a number of factors, including the extent of exchanges by continuing GEN LLC unitholders, the associated fair value of the underlying GEN LLC units at the time of those exchanges, the tax rates applicable, our future income, and the associated tax benefits that might be realized that would trigger a Tax Receivable Agreement payment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a significant portion of any potential future payments under the Tax Receivable Agreement is anticipated to be payable over 15 years, consistent with the period over which the associated tax deductions would be realized by GEN Inc., assuming GEN LLC generates sufficient income to utilize the deductions. If sufficient income is not generated by GEN LLC, the associated taxable income of GEN Inc. will be impacted and the associated tax benefits to be realized will be limited, thereby similarly reducing the associated Tax Receivable Agreement payments to be made. Given the length of time over which payments would be payable, the impact to liquidity in any single year may be greatly reduced.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May 2025, our Board of Directors declared a $0.03 per share dividend distribution on our outstanding common stock for shareholders of record as of June 9, 2025, which was paid on June 23, 2025, resulting in an aggregate total payment for all dividends of $988 thousand.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Summary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are operating cash flows, cash on hand and debt borrowings. We use these sources to fund expenditures for new restaurant openings, reinvest in our existing restaurants, and increase our working capital. Our working capital position benefits from the fact that we generally collect cash from sales to guests the same day, or in the case of credit or debit card transactions, within several days of the related sale, and we typically have at least 30 days to pay our vendors.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jc w:val="left"/>
        <w:rPr/>
      </w:pPr>
      <w:r>
        <w:rPr/>
        <w:t> </w:t>
      </w:r>
    </w:p>
    <w:tbl>
      <w:tblPr>
        <w:tblW w:w="6417" w:type="dxa"/>
        <w:jc w:val="left"/>
        <w:tblInd w:w="0" w:type="dxa"/>
        <w:tblLayout w:type="fixed"/>
        <w:tblCellMar>
          <w:top w:w="28" w:type="dxa"/>
          <w:left w:w="28" w:type="dxa"/>
          <w:bottom w:w="28" w:type="dxa"/>
          <w:right w:w="28" w:type="dxa"/>
        </w:tblCellMar>
      </w:tblPr>
      <w:tblGrid>
        <w:gridCol w:w="3466"/>
        <w:gridCol w:w="146"/>
        <w:gridCol w:w="248"/>
        <w:gridCol w:w="866"/>
        <w:gridCol w:w="195"/>
        <w:gridCol w:w="171"/>
        <w:gridCol w:w="248"/>
        <w:gridCol w:w="86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during the nine months ended September 30, 2025 was $3.8 million, the result of net loss of $7.3 million, adjusted by non-cash charges of depreciation and amortization of $6.6 million, amortization of operating lease assets of $5.0 million, and stock-based compensation expense of $2.2 million. The net cash outflows from changes in operating assets and liabilities were collectively a decrease of $1.7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operating activities during the nine months ended September 30, 2024 was $10.5 million, the result of net income of $5.9 million, adjusted by non-cash charges of depreciation and amortization of $5.0 million, and amortization of operating lease assets of $5.4 million, stock-based compensation of $2.2 million and a reduction related to the gain on the acquisition of the remaining ownership interest in GKBH. The net cash outflows from changes in operating assets and liabilities were collectively a decrease of $4.6 million.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during the nine months ended September 30, 2025 was $22.5 million, reflecting the purchase of 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during the nine months ended September 30, 2024 was $22.7 million, reflecting $16.7 million for the purchase of property and equipment and a $6.0 million payment for the acquisition of the remaining ownership interest in GKBH.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during the nine months ended September 30, 2025 was $0.3 million, primarily due to payments of $5.0 million on the line of credit and third party notes payable, $800 thousand in distributions paid on non-controlling interests, $200 thousand on the repurchase of common stock, and $200 thousand in dividends paid on common stock, partially offset by proceeds from third party loans of $6.0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during the nine months ended September 30, 2024 was $1.6 million, primarily due to proceeds from third party loans of $3.0 million, partially offset by payments to members and repayments of third party loans.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Effect of Exchange Rate Changes on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September 30, 2025, the effect of exchange rate changes on cash and cash equivalents primarily reflects the translation impact from fluctuations in the value of the South Korean won relative to the U.S. dollar. During the period, the won experienced modest depreciation against the U.S. dollar, resulting in a loss on foreign currency translation of $74 thousand compared to $0 in the comparative period.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had $13.3 million in contractual obligations relating to debt, including EIDL loans payable. All contractual obligations are expected to be paid during the next 12 months utilizing cash and cash equivalents on hand and provided by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activities. For operation lease obligations, See “Note 10 - Leases” in the Notes to Condensed Consolidated Financial Statements included in this Quarterly Report on Form 10-Q.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discussion and analysis of operating results and financial condition are based upon our financial statements. The preparation of our financial statements in accordance with GAAP requires us to make estimates and assumptions that affect the reported amounts of assets, liabilities, sales, expenses and related disclosures of contingent assets and liabilities. We base our estimates on past experience and other assumptions that we believe are reasonable under the circumstances, and we evaluate these estimates on an ongoing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estimates are those that materially affect our financial statements and involve subjective or complex judgments by management. Although these estimates are based on management’s best knowledge of current events and actions that may impact us in the future, actual results may be materially different from the estimates. We believe the following critical accounting estimates are affected by significant judgments and estimates used in the preparation of our financial statements and that the judgments and estimates are reasonable.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and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office leases provide for fixed minimum rent payments. Our restaurant leases provide for fixed minimum rent payments and some require additional contingent rent payments based upon sales in excess of specified thresholds. When achievement of such sales thresholds is deemed probable, contingent rent is accrued in proportion to the sales recognized in the period. For operating leases that include free-rent periods and rent escalation clauses, we recognize rent expense based on the straight-line method. For the purpose of calculating rent expenses under the straight-line method, the lease term commences on the date we obtain control of the property. Lease incentives used to fund leasehold improvements are recognized when earned and reduce the operating right-of-use asset related to the lease. These are amortized through the operating right-of-use asset as reductions of expense over the lease term. Restaurant lease expenses are included in the occupancy expenses line item, while office lease expenses are included in the general and administrative expenses line item in the accompanying condensed consolidated statements of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lease all of our restaurant locations, corporate office, and some of the equipment used in our restaurants. On January 1, 2022, we adopted ASU 2016-02, Leases (Topic 842), or “Topic 842,” using a modified retrospective approach. See “Note 10—Leases” to the financial statements. At commencement of the lease, we determine the appropriate classification as an operating lease or a finance lease. All of our restaurant and office leases are classified as operating leases and some of our equipment leases are classified as finance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we acquired under finance lease arrangements are recorded at the lower of the present value of future minimum lease payments or fair value of the assets at the inception of the lease. Finance lease assets are amortized over the shorter of the useful life of the assets or the lease term, and the amortization expense is included in depreciation and amortization on the accompanying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 potential impairments of our long-lived assets, which includes property and equipment and operating lease right-of-use assets, in accordance with the provisions of Financial Accounting Standards Board (“FASB”), Accounting Standards Codification, (“ASC”) 360—Property, Plant and Equipment. An impairment test is performed on a quarterly basis or whenever events or changes in circumstances indicate that the carrying value of the assets may not be recoverable. In determining the recoverability of the asset value, an analysis is performed at the individual restaurant level. Assets are grouped at the individual restaurant-level for purposes of the impairment assessment because a restaurant represents the lowest level for which identifiable cash flows are largely independent of the cash flows of other assets and liabilities. Recoverability of an asset group is measured by a comparison of the carrying amount of an asset group to its estimated forecasted restaurant cash flows expected to be generated by the asset group. Factors considered by us in estimating future cash flows include, but are not limited to: significant underperformance relative to expected historical or projected future operating results; significant changes in the manner of use of the acquired assets; and significant negative industry or economic trends. If the carrying amount of the asset group exceeds its estimated undiscounted future cash flows, an impairment charge is recognized as the amount by which the carrying amount of the asset exceeds the fair value of the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impairment loss was recognized during any of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and we have taken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1) we have more than $1.235 billion in annual revenue, 2) we have more than $700.0 million in market value of our stock held by non-affiliates (and we have been a public company for at least 12 months) or 3) we issue more than $1.0 billion of non-convertible debt securities over a three-year period.</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 Basis of Presentation and Summary of Significant Accounting Policies, for a discussion of recent accounting standards. </w:t>
      </w:r>
    </w:p>
    <w:p>
      <w:pPr>
        <w:pStyle w:val="TextBody"/>
        <w:bidi w:val="0"/>
        <w:spacing w:before="240" w:after="283"/>
        <w:jc w:val="center"/>
        <w:rPr>
          <w:rFonts w:ascii="Times New Roman" w:hAnsi="Times New Roman"/>
          <w:color w:val="231F20"/>
          <w:sz w:val="20"/>
        </w:rPr>
      </w:pPr>
      <w:r>
        <w:rPr>
          <w:rFonts w:ascii="Times New Roman" w:hAnsi="Times New Roman"/>
          <w:color w:val="231F2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Commodity and Food Price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profitability is dependent on, among other things, our ability to anticipate and react to changes in the costs of key operating resources, including food and beverage and other commodities. The prices of many of the ingredients we use to prepare our food, as well as construction costs, are affected by exchange rates, trade tariffs, and increases in the prices of other commodities. We have been able to partially offset cost increases that resulted from a number of factors, including market conditions, shortages or interruptions in supply due to weather or other conditions beyond our control and governmental regulations and inflation, by increasing our menu prices as well as making other operational adjustments that increase productivity. However, substantial increases in costs and expenses could impact our operating results to the extent that such increases cannot be offset by menu price increases or operational adjustments.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exposure to foreign currency exchange rate fluctuations from operations in South Korea. To date, the impact has not been material to our results.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areas where inflation impacts our operations are food, beverage, labor and energy costs. Our restaurant operations are subject to federal and state minimum wage laws and other laws governing such matters as working conditions, overtime and tip credits. Significant numbers of our restaurant personnel are paid at rates dependent on the federal and/or state minimum wage and, accordingly, increases in the minimum wage increase our labor costs. To the extent permitted by competition and the economy, we have mitigated increased costs by increasing menu prices and may continue to do so if deemed necessary in future years. Substantial increases in costs and expenses could impact our operating results to the extent such increases cannot be passed through to our guests. Historically, including the first nine months of 2025, inflation has not had a material effect on our results of operations. Severe increases in inflation, however, could affect the global and U.S. economies and could have an adverse impact on our business, financial condition or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been able to partially offset inflation and other changes in the costs of core operating resources by gradually increasing menu prices, coupled with more efficient purchasing practices, productivity improvements and greater economies of scale, there can be no assurance that we will be able to continue to do so in the future. From time to time, competitive conditions could limit our menu pricing flexibility. In addition, macroeconomic conditions could make additional menu price increases imprudent. There can be no assurance that future cost increases can be offset by increased menu prices or that increased menu prices will be fully absorbed by our guests without any resulting change to their visit frequencies or purchasing patterns. In addition, there can be no assurance that we will generate sales growth in an amount sufficient to offset inflationary or other cost pressures.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market interest rates by accessing our line of credit and our $6.3 million of outstanding loans from PCB Bank, which bear interest at the Wall Street Journal Prime Rate plus 0.25%.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carried out an evaluation, under the supervision and with the participation of our Chief Executive Officer and Chief Financial Officer, of the effectiveness of the design and operation of our disclosure controls and procedures (as defined by Rule 13a-15(e) of the Securities Exchange Act of 1934, as amended (the “Exchange Act”)) as of the end of period covered by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this evaluation, our management concluded that our disclosure controls and procedure were effective at the reasonable assurance level as of September 30,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various legal proceedings and claims that arise in the ordinary course of our business. Although the outcome of these and other claims cannot be predicted with certainty, we do not believe the ultimate resolution of the current matters will have a material adverse effect on our business, financial condition, results of operations or cash flows. For further details, see “Contingencies” in “Note 11 - Commitments and Contingencies” to the condensed consolidated financial statements in this Quarterly Report on Form 10-Q, which is incorporated herein by reference.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the risk factors associated with our business previously disclosed in the “Risk Factors” section of our Annual Report on Form 10-K for the year ending December 31, 2024, except that the following risk factor is deleted: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intend to pay dividends for the foreseeable future and, as a result, your ability to achieve a return on your investment will solely depend on appreciation in the price of our Class A common stock. </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 during the fiscal quarter ended September 30, 2025.</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9275"/>
      </w:tblGrid>
      <w:tr>
        <w:trPr/>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5" w:type="dxa"/>
            <w:tcBorders/>
            <w:vAlign w:val="center"/>
          </w:tcPr>
          <w:p>
            <w:pPr>
              <w:pStyle w:val="TableContents"/>
              <w:bidi w:val="0"/>
              <w:spacing w:before="0" w:after="283"/>
              <w:jc w:val="left"/>
              <w:rPr>
                <w:sz w:val="4"/>
                <w:szCs w:val="4"/>
              </w:rPr>
            </w:pPr>
            <w:r>
              <w:rPr>
                <w:sz w:val="4"/>
                <w:szCs w:val="4"/>
              </w:rPr>
            </w:r>
          </w:p>
        </w:tc>
      </w:tr>
      <w:tr>
        <w:trPr/>
        <w:tc>
          <w:tcPr>
            <w:tcW w:w="784"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714" w:type="dxa"/>
        <w:jc w:val="left"/>
        <w:tblInd w:w="0" w:type="dxa"/>
        <w:tblLayout w:type="fixed"/>
        <w:tblCellMar>
          <w:top w:w="28" w:type="dxa"/>
          <w:left w:w="28" w:type="dxa"/>
          <w:bottom w:w="28" w:type="dxa"/>
          <w:right w:w="28" w:type="dxa"/>
        </w:tblCellMar>
      </w:tblPr>
      <w:tblGrid>
        <w:gridCol w:w="2101"/>
        <w:gridCol w:w="146"/>
        <w:gridCol w:w="406"/>
        <w:gridCol w:w="606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6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 Restaurant Group,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0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Kim</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Kim</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0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V. Croal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V. Croal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(Duly Authorized Officer, 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genk-ex31_1.htm"/>
      <w:bookmarkStart w:id="22" w:name="ksgenk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Kim,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GEN Restaurant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Kim</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Kim</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genk-ex31_2.htm"/>
      <w:bookmarkStart w:id="24" w:name="ksgenk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V. Croal,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GEN Restaurant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V. Croal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V. Croal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genk-ex32_1.htm"/>
      <w:bookmarkStart w:id="26" w:name="ksgenk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GEN Restaurant Group,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92" w:type="dxa"/>
        <w:jc w:val="left"/>
        <w:tblInd w:w="0" w:type="dxa"/>
        <w:tblLayout w:type="fixed"/>
        <w:tblCellMar>
          <w:top w:w="28" w:type="dxa"/>
          <w:left w:w="28" w:type="dxa"/>
          <w:bottom w:w="28" w:type="dxa"/>
          <w:right w:w="28" w:type="dxa"/>
        </w:tblCellMar>
      </w:tblPr>
      <w:tblGrid>
        <w:gridCol w:w="2101"/>
        <w:gridCol w:w="109"/>
        <w:gridCol w:w="406"/>
        <w:gridCol w:w="217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David Kim</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Kim</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genk-ex32_2.htm"/>
      <w:bookmarkStart w:id="28" w:name="ksgenkex32_2"/>
      <w:bookmarkEnd w:id="27"/>
      <w:bookmarkEnd w:id="28"/>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GEN Restaurant Group, Inc.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V. Croal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V. Croal</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22390</Words>
  <Characters>120599</Characters>
  <CharactersWithSpaces>144484</CharactersWithSpaces>
  <Paragraphs>8215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