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genk-20260520.htm"/>
      <w:bookmarkStart w:id="1" w:name="ksgenk20260520"/>
      <w:bookmarkEnd w:id="0"/>
      <w:bookmarkEnd w:id="1"/>
      <w:r>
        <w:rPr>
          <w:rFonts w:ascii="Times New Roman" w:hAnsi="Times New Roman"/>
          <w:b/>
          <w:color w:val="000000"/>
          <w:sz w:val="18"/>
        </w:rPr>
        <w:t>As filed with the Securities and Exchange Commission on May 19, 2026</w:t>
      </w:r>
    </w:p>
    <w:p>
      <w:pPr>
        <w:pStyle w:val="TextBody"/>
        <w:bidi w:val="0"/>
        <w:jc w:val="center"/>
        <w:rPr/>
      </w:pPr>
      <w:r>
        <w:rPr/>
        <w:t> </w:t>
      </w:r>
    </w:p>
    <w:p>
      <w:pPr>
        <w:pStyle w:val="TextBody"/>
        <w:bidi w:val="0"/>
        <w:jc w:val="right"/>
        <w:rPr>
          <w:rFonts w:ascii="Times New Roman" w:hAnsi="Times New Roman"/>
          <w:b/>
          <w:color w:val="000000"/>
          <w:sz w:val="18"/>
        </w:rPr>
      </w:pPr>
      <w:r>
        <w:rPr>
          <w:rFonts w:ascii="Times New Roman" w:hAnsi="Times New Roman"/>
          <w:b/>
          <w:color w:val="000000"/>
          <w:sz w:val="18"/>
        </w:rPr>
        <w:t>Registration No. 333-</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FORM S-3</w:t>
      </w:r>
    </w:p>
    <w:p>
      <w:pPr>
        <w:pStyle w:val="TextBody"/>
        <w:bidi w:val="0"/>
        <w:jc w:val="center"/>
        <w:rPr>
          <w:rFonts w:ascii="Times New Roman" w:hAnsi="Times New Roman"/>
          <w:b/>
          <w:color w:val="000000"/>
          <w:sz w:val="18"/>
        </w:rPr>
      </w:pPr>
      <w:r>
        <w:rPr>
          <w:rFonts w:ascii="Times New Roman" w:hAnsi="Times New Roman"/>
          <w:b/>
          <w:color w:val="000000"/>
          <w:sz w:val="18"/>
        </w:rPr>
        <w:t>REGISTRATION STATEMENT UNDER THE SECURITIES ACT OF 1933</w:t>
      </w:r>
    </w:p>
    <w:p>
      <w:pPr>
        <w:pStyle w:val="TextBody"/>
        <w:bidi w:val="0"/>
        <w:jc w:val="center"/>
        <w:rPr/>
      </w:pPr>
      <w:r>
        <w:rPr/>
        <w:t> </w:t>
      </w:r>
    </w:p>
    <w:p>
      <w:pPr>
        <w:pStyle w:val="TextBody"/>
        <w:bidi w:val="0"/>
        <w:jc w:val="center"/>
        <w:rPr>
          <w:rFonts w:ascii="Times New Roman" w:hAnsi="Times New Roman"/>
          <w:b/>
          <w:caps/>
          <w:color w:val="000000"/>
          <w:sz w:val="34"/>
        </w:rPr>
      </w:pPr>
      <w:r>
        <w:rPr>
          <w:rFonts w:ascii="Times New Roman" w:hAnsi="Times New Roman"/>
          <w:b/>
          <w:caps/>
          <w:color w:val="000000"/>
          <w:sz w:val="34"/>
        </w:rPr>
        <w:t>GEN RESTAURANT GROUP, INC.</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7247" w:type="dxa"/>
        <w:jc w:val="left"/>
        <w:tblInd w:w="0" w:type="dxa"/>
        <w:tblLayout w:type="fixed"/>
        <w:tblCellMar>
          <w:top w:w="28" w:type="dxa"/>
          <w:left w:w="28" w:type="dxa"/>
          <w:bottom w:w="28" w:type="dxa"/>
          <w:right w:w="28" w:type="dxa"/>
        </w:tblCellMar>
      </w:tblPr>
      <w:tblGrid>
        <w:gridCol w:w="4321"/>
        <w:gridCol w:w="2926"/>
      </w:tblGrid>
      <w:tr>
        <w:trPr/>
        <w:tc>
          <w:tcPr>
            <w:tcW w:w="432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87-3424935</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(State or other jurisdiction of incorporation or organization)</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(I.R.S. Employer Identification Number)</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11480 South Street, Suite 205</w:t>
      </w:r>
    </w:p>
    <w:p>
      <w:pPr>
        <w:pStyle w:val="TextBody"/>
        <w:bidi w:val="0"/>
        <w:jc w:val="center"/>
        <w:rPr>
          <w:rFonts w:ascii="Times New Roman" w:hAnsi="Times New Roman"/>
          <w:b/>
          <w:color w:val="000000"/>
          <w:sz w:val="20"/>
        </w:rPr>
      </w:pPr>
      <w:r>
        <w:rPr>
          <w:rFonts w:ascii="Times New Roman" w:hAnsi="Times New Roman"/>
          <w:b/>
          <w:color w:val="000000"/>
          <w:sz w:val="20"/>
        </w:rPr>
        <w:t>Cerritos, CA 90703</w:t>
      </w:r>
    </w:p>
    <w:p>
      <w:pPr>
        <w:pStyle w:val="TextBody"/>
        <w:bidi w:val="0"/>
        <w:jc w:val="center"/>
        <w:rPr>
          <w:rFonts w:ascii="Times New Roman" w:hAnsi="Times New Roman"/>
          <w:b/>
          <w:color w:val="000000"/>
          <w:sz w:val="20"/>
        </w:rPr>
      </w:pPr>
      <w:r>
        <w:rPr>
          <w:rFonts w:ascii="Times New Roman" w:hAnsi="Times New Roman"/>
          <w:b/>
          <w:color w:val="000000"/>
          <w:sz w:val="20"/>
        </w:rPr>
        <w:t>(562) 356-9929</w:t>
      </w:r>
    </w:p>
    <w:p>
      <w:pPr>
        <w:pStyle w:val="TextBody"/>
        <w:bidi w:val="0"/>
        <w:jc w:val="center"/>
        <w:rPr>
          <w:rFonts w:ascii="Times New Roman" w:hAnsi="Times New Roman"/>
          <w:sz w:val="20"/>
        </w:rPr>
      </w:pPr>
      <w:r>
        <w:rPr>
          <w:rFonts w:ascii="Times New Roman" w:hAnsi="Times New Roman"/>
          <w:i/>
          <w:color w:val="000000"/>
          <w:sz w:val="18"/>
        </w:rPr>
        <w:t>(</w:t>
      </w:r>
      <w:r>
        <w:rPr>
          <w:rFonts w:ascii="Times New Roman" w:hAnsi="Times New Roman"/>
          <w:i/>
          <w:color w:val="000000"/>
          <w:sz w:val="16"/>
        </w:rPr>
        <w:t>Address, including zip code, and telephone number, including area code, of registrant’s principal executive offices</w:t>
      </w:r>
      <w:r>
        <w:rPr>
          <w:rFonts w:ascii="Times New Roman" w:hAnsi="Times New Roman"/>
          <w:i/>
          <w:color w:val="000000"/>
          <w:sz w:val="18"/>
        </w:rPr>
        <w:t>)</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Thomas V. Croal</w:t>
      </w:r>
    </w:p>
    <w:p>
      <w:pPr>
        <w:pStyle w:val="TextBody"/>
        <w:bidi w:val="0"/>
        <w:jc w:val="center"/>
        <w:rPr>
          <w:rFonts w:ascii="Times New Roman" w:hAnsi="Times New Roman"/>
          <w:b/>
          <w:color w:val="000000"/>
          <w:sz w:val="18"/>
        </w:rPr>
      </w:pPr>
      <w:r>
        <w:rPr>
          <w:rFonts w:ascii="Times New Roman" w:hAnsi="Times New Roman"/>
          <w:b/>
          <w:color w:val="000000"/>
          <w:sz w:val="18"/>
        </w:rPr>
        <w:t>11480 South Street, Suite 205</w:t>
      </w:r>
    </w:p>
    <w:p>
      <w:pPr>
        <w:pStyle w:val="TextBody"/>
        <w:bidi w:val="0"/>
        <w:jc w:val="center"/>
        <w:rPr>
          <w:rFonts w:ascii="Times New Roman" w:hAnsi="Times New Roman"/>
          <w:b/>
          <w:color w:val="000000"/>
          <w:sz w:val="18"/>
        </w:rPr>
      </w:pPr>
      <w:r>
        <w:rPr>
          <w:rFonts w:ascii="Times New Roman" w:hAnsi="Times New Roman"/>
          <w:b/>
          <w:color w:val="000000"/>
          <w:sz w:val="18"/>
        </w:rPr>
        <w:t>Cerritos, CA 90703</w:t>
      </w:r>
    </w:p>
    <w:p>
      <w:pPr>
        <w:pStyle w:val="TextBody"/>
        <w:bidi w:val="0"/>
        <w:jc w:val="center"/>
        <w:rPr>
          <w:rFonts w:ascii="Times New Roman" w:hAnsi="Times New Roman"/>
          <w:b/>
          <w:color w:val="000000"/>
          <w:sz w:val="18"/>
        </w:rPr>
      </w:pPr>
      <w:r>
        <w:rPr>
          <w:rFonts w:ascii="Times New Roman" w:hAnsi="Times New Roman"/>
          <w:b/>
          <w:color w:val="000000"/>
          <w:sz w:val="18"/>
        </w:rPr>
        <w:t>(562) 356-9929</w:t>
      </w:r>
    </w:p>
    <w:p>
      <w:pPr>
        <w:pStyle w:val="TextBody"/>
        <w:bidi w:val="0"/>
        <w:jc w:val="center"/>
        <w:rPr>
          <w:rFonts w:ascii="Times New Roman" w:hAnsi="Times New Roman"/>
          <w:sz w:val="20"/>
        </w:rPr>
      </w:pPr>
      <w:r>
        <w:rPr>
          <w:rFonts w:ascii="Times New Roman" w:hAnsi="Times New Roman"/>
          <w:i/>
          <w:color w:val="000000"/>
          <w:sz w:val="18"/>
        </w:rPr>
        <w:t>(</w:t>
      </w:r>
      <w:r>
        <w:rPr>
          <w:rFonts w:ascii="Times New Roman" w:hAnsi="Times New Roman"/>
          <w:i/>
          <w:color w:val="000000"/>
          <w:sz w:val="16"/>
        </w:rPr>
        <w:t>Name, address, including zip code, and telephone number, including area code, of agent for service</w:t>
      </w:r>
      <w:r>
        <w:rPr>
          <w:rFonts w:ascii="Times New Roman" w:hAnsi="Times New Roman"/>
          <w:i/>
          <w:color w:val="000000"/>
          <w:sz w:val="18"/>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Copies of all communications, including communications sent to agent for service, should be sent to:</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Ben A. Stacke, Esq.</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Griffin D. Foster, Esq.</w:t>
      </w:r>
    </w:p>
    <w:p>
      <w:pPr>
        <w:pStyle w:val="TextBody"/>
        <w:bidi w:val="0"/>
        <w:jc w:val="center"/>
        <w:rPr>
          <w:rFonts w:ascii="Times New Roman" w:hAnsi="Times New Roman"/>
          <w:b/>
          <w:color w:val="000000"/>
          <w:sz w:val="18"/>
        </w:rPr>
      </w:pPr>
      <w:r>
        <w:rPr>
          <w:rFonts w:ascii="Times New Roman" w:hAnsi="Times New Roman"/>
          <w:b/>
          <w:color w:val="000000"/>
          <w:sz w:val="18"/>
        </w:rPr>
        <w:t>Faegre Drinker Biddle &amp; Reath LLP</w:t>
        <w:br/>
        <w:t>2200 Wells Fargo Center</w:t>
      </w:r>
    </w:p>
    <w:p>
      <w:pPr>
        <w:pStyle w:val="TextBody"/>
        <w:bidi w:val="0"/>
        <w:jc w:val="center"/>
        <w:rPr>
          <w:rFonts w:ascii="Times New Roman" w:hAnsi="Times New Roman"/>
          <w:b/>
          <w:color w:val="000000"/>
          <w:sz w:val="18"/>
        </w:rPr>
      </w:pPr>
      <w:r>
        <w:rPr>
          <w:rFonts w:ascii="Times New Roman" w:hAnsi="Times New Roman"/>
          <w:b/>
          <w:color w:val="000000"/>
          <w:sz w:val="18"/>
        </w:rPr>
        <w:t xml:space="preserve">90 South Seventh Street </w:t>
        <w:br/>
        <w:t>Minneapolis, Minnesota 55402</w:t>
        <w:br/>
        <w:t>(612) 766-7000</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 xml:space="preserve">Approximate date of commencement of proposed sale to the public: </w:t>
      </w:r>
      <w:r>
        <w:rPr>
          <w:rFonts w:ascii="Times New Roman" w:hAnsi="Times New Roman"/>
          <w:color w:val="000000"/>
          <w:sz w:val="16"/>
        </w:rPr>
        <w:t>From time to time after the effective date of this registration statement.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If the only securities being registered on this Form are being offered pursuant to dividend or interest reinvestment plans, please check the following box: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127" w:type="dxa"/>
        <w:jc w:val="left"/>
        <w:tblInd w:w="0" w:type="dxa"/>
        <w:tblLayout w:type="fixed"/>
        <w:tblCellMar>
          <w:top w:w="28" w:type="dxa"/>
          <w:left w:w="28" w:type="dxa"/>
          <w:bottom w:w="28" w:type="dxa"/>
          <w:right w:w="28" w:type="dxa"/>
        </w:tblCellMar>
      </w:tblPr>
      <w:tblGrid>
        <w:gridCol w:w="1861"/>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Accelerated filer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Smaller reporting company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40" w:after="283"/>
        <w:jc w:val="both"/>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FF0000"/>
          <w:sz w:val="22"/>
        </w:rPr>
      </w:pPr>
      <w:r>
        <w:rPr>
          <w:rFonts w:ascii="Times New Roman" w:hAnsi="Times New Roman"/>
          <w:b/>
          <w:color w:val="FF0000"/>
          <w:sz w:val="22"/>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60"/>
        <w:jc w:val="center"/>
        <w:rPr>
          <w:rFonts w:ascii="Times New Roman" w:hAnsi="Times New Roman"/>
          <w:b/>
          <w:color w:val="FF0000"/>
          <w:sz w:val="22"/>
        </w:rPr>
      </w:pPr>
      <w:r>
        <w:rPr>
          <w:rFonts w:ascii="Times New Roman" w:hAnsi="Times New Roman"/>
          <w:b/>
          <w:color w:val="FF0000"/>
          <w:sz w:val="22"/>
        </w:rPr>
        <w:t>Subject to Completion, dated May 19, 2026</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PROSPECTUS</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$50,000,000</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GEN RESTAURANT GROUP, INC.</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Class A Common Stock</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offer and sell up to $50,000,000 of shares of our Class A common stock, par value $0.001 per share (our “common stock”), from time to time in one or more offerings. This prospectus provides you with a general description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time we offer and sell our common stock, we will provide a supplement to this prospectus that contains specific information about the offering and the amounts, prices and terms of the common stock. The supplement may also add, update or change information contained in this prospectus with respect to that offering. You should carefully read this prospectus and the applicable prospectus supplement, together with the documents we incorporate by reference, before you invest in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offer and sell the common stock described in this prospectus and any prospectus supplement to or through one or more underwriters, dealers and agents, or directly to purchasers, or through a combination of these methods. If any underwriters, dealers or agents are involved in the sale of our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shares of common stock may be sold without delivery of this prospectus and the applicable prospectus supplement describing the method and terms of the offering of such common stock. </w:t>
      </w:r>
    </w:p>
    <w:p>
      <w:pPr>
        <w:pStyle w:val="TextBody"/>
        <w:bidi w:val="0"/>
        <w:spacing w:before="0" w:after="240"/>
        <w:jc w:val="both"/>
        <w:rPr/>
      </w:pPr>
      <w:r>
        <w:rPr/>
        <w:t> </w:t>
      </w:r>
    </w:p>
    <w:p>
      <w:pPr>
        <w:pStyle w:val="TextBody"/>
        <w:bidi w:val="0"/>
        <w:jc w:val="both"/>
        <w:rPr>
          <w:rFonts w:ascii="Times New Roman" w:hAnsi="Times New Roman"/>
          <w:sz w:val="20"/>
        </w:rPr>
      </w:pPr>
      <w:r>
        <w:rPr>
          <w:rFonts w:ascii="Times New Roman" w:hAnsi="Times New Roman"/>
          <w:b/>
          <w:color w:val="000000"/>
          <w:sz w:val="22"/>
        </w:rPr>
        <w:t>INVESTING IN OUR COMMON STOCK INVOLVES RISKS. SEE THE “RISK FACTORS” ON PAGE 5 OF THIS PROSPECTUS AND ANY SIMILAR SECTION CONTAINED IN THE APPLICABLE PROSPECTUS SUPPLEMENT CONCERNING FACTORS YOU SHOULD CONSIDER BEFORE INVESTING IN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common stock is listed on the Nasdaq Global Market under the symbol “GENK.” On May 18, 2026, the last reported sale price of our common stock on the Nasdaq Global Market was $2.30 per share.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2"/>
        </w:rPr>
        <w:t>The date of this prospectus is ,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jc w:val="center"/>
        <w:rPr/>
      </w:pPr>
      <w:r>
        <w:rPr/>
        <w:t> </w:t>
      </w:r>
    </w:p>
    <w:tbl>
      <w:tblPr>
        <w:tblW w:w="9868" w:type="dxa"/>
        <w:jc w:val="left"/>
        <w:tblInd w:w="0" w:type="dxa"/>
        <w:tblLayout w:type="fixed"/>
        <w:tblCellMar>
          <w:top w:w="28" w:type="dxa"/>
          <w:left w:w="28" w:type="dxa"/>
          <w:bottom w:w="28" w:type="dxa"/>
          <w:right w:w="28" w:type="dxa"/>
        </w:tblCellMar>
      </w:tblPr>
      <w:tblGrid>
        <w:gridCol w:w="8611"/>
        <w:gridCol w:w="146"/>
        <w:gridCol w:w="1111"/>
      </w:tblGrid>
      <w:tr>
        <w:trPr/>
        <w:tc>
          <w:tcPr>
            <w:tcW w:w="8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about_this_prospectus">
              <w:r>
                <w:rPr>
                  <w:rStyle w:val="InternetLink"/>
                  <w:rFonts w:ascii="Times New Roman" w:hAnsi="Times New Roman"/>
                  <w:color w:val="0000FF"/>
                  <w:sz w:val="22"/>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the_company">
              <w:r>
                <w:rPr>
                  <w:rStyle w:val="InternetLink"/>
                  <w:rFonts w:ascii="Times New Roman" w:hAnsi="Times New Roman"/>
                  <w:color w:val="0000FF"/>
                  <w:sz w:val="22"/>
                  <w:u w:val="single"/>
                </w:rPr>
                <w:t>THE COMPANY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general_information">
              <w:r>
                <w:rPr>
                  <w:rStyle w:val="InternetLink"/>
                  <w:rFonts w:ascii="Times New Roman" w:hAnsi="Times New Roman"/>
                  <w:color w:val="0000FF"/>
                  <w:sz w:val="22"/>
                  <w:u w:val="single"/>
                </w:rPr>
                <w:t>GENERAL INFORMATION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where_you_can_find">
              <w:r>
                <w:rPr>
                  <w:rStyle w:val="InternetLink"/>
                  <w:rFonts w:ascii="Times New Roman" w:hAnsi="Times New Roman"/>
                  <w:color w:val="0000FF"/>
                  <w:sz w:val="22"/>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info_reference">
              <w:r>
                <w:rPr>
                  <w:rStyle w:val="InternetLink"/>
                  <w:rFonts w:ascii="Times New Roman" w:hAnsi="Times New Roman"/>
                  <w:color w:val="0000FF"/>
                  <w:sz w:val="22"/>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risk_factors">
              <w:r>
                <w:rPr>
                  <w:rStyle w:val="InternetLink"/>
                  <w:rFonts w:ascii="Times New Roman" w:hAnsi="Times New Roman"/>
                  <w:color w:val="0000FF"/>
                  <w:sz w:val="22"/>
                  <w:u w:val="single"/>
                </w:rPr>
                <w:t>RISK FACTORS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autionary_information_about_forward">
              <w:r>
                <w:rPr>
                  <w:rStyle w:val="InternetLink"/>
                  <w:rFonts w:ascii="Times New Roman" w:hAnsi="Times New Roman"/>
                  <w:color w:val="0000FF"/>
                  <w:sz w:val="22"/>
                  <w:u w:val="single"/>
                </w:rPr>
                <w:t>CAUTIONARY INFORMATION ABOUT FORWARD-LOOKING STATEMENTS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use_of_proceeds">
              <w:r>
                <w:rPr>
                  <w:rStyle w:val="InternetLink"/>
                  <w:rFonts w:ascii="Times New Roman" w:hAnsi="Times New Roman"/>
                  <w:color w:val="0000FF"/>
                  <w:sz w:val="22"/>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dividend_policy">
              <w:r>
                <w:rPr>
                  <w:rStyle w:val="InternetLink"/>
                  <w:rFonts w:ascii="Times New Roman" w:hAnsi="Times New Roman"/>
                  <w:color w:val="0000FF"/>
                  <w:sz w:val="22"/>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description_capital_stock">
              <w:r>
                <w:rPr>
                  <w:rStyle w:val="InternetLink"/>
                  <w:rFonts w:ascii="Times New Roman" w:hAnsi="Times New Roman"/>
                  <w:color w:val="0000FF"/>
                  <w:sz w:val="22"/>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lan_of_distribution">
              <w:r>
                <w:rPr>
                  <w:rStyle w:val="InternetLink"/>
                  <w:rFonts w:ascii="Times New Roman" w:hAnsi="Times New Roman"/>
                  <w:color w:val="0000FF"/>
                  <w:sz w:val="22"/>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legal_matters">
              <w:r>
                <w:rPr>
                  <w:rStyle w:val="InternetLink"/>
                  <w:rFonts w:ascii="Times New Roman" w:hAnsi="Times New Roman"/>
                  <w:color w:val="0000FF"/>
                  <w:sz w:val="22"/>
                  <w:u w:val="single"/>
                </w:rPr>
                <w:t>LEGAL MATTERS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861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experts">
              <w:r>
                <w:rPr>
                  <w:rStyle w:val="InternetLink"/>
                  <w:rFonts w:ascii="Times New Roman" w:hAnsi="Times New Roman"/>
                  <w:color w:val="0000FF"/>
                  <w:sz w:val="22"/>
                  <w:u w:val="single"/>
                </w:rPr>
                <w:t>EXPERTS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15</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 w:name="about_this_prospectus"/>
      <w:bookmarkEnd w:id="2"/>
      <w:r>
        <w:rPr>
          <w:rFonts w:ascii="Times New Roman" w:hAnsi="Times New Roman"/>
          <w:color w:val="000000"/>
          <w:sz w:val="22"/>
        </w:rPr>
        <w:t>ABOUT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prospectus is part of a registration statement on Form S-3 that we filed with the Securities and Exchange Commission (the “SEC”) using a “shelf” registration process. By using a shelf registration statement, we may sell up to $50,000,000 of shares of our common stock from time to time and in one or more offerings as described in this prospectus. Each time that we offer and sell our common stock, we will provide a prospectus supplement to this prospectus that contains specific information about our common stock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common stock, you should carefully read both this prospectus and the applicable prospectus supplement (and any applicable free writing prospectuses), including all documents incorporated herein and therein by reference, together with the additional information described under “Where You Can Find More Information”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authorized any underwriter, dealer, agent or other person to give any information or to make any representation other than those contained or incorporated by reference in this prospectus, any accompanying prospectus supplement or any free writing prospectuses prepared by or on behalf of us or to which we have referred you. You must not rely upon any information or representation not so contained or incorporated by reference in this prospectus or any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are delivered or securities are sold on a later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Accordingly, investors should not place undue reliance on this information.</w:t>
      </w:r>
    </w:p>
    <w:p>
      <w:pPr>
        <w:pStyle w:val="TextBody"/>
        <w:bidi w:val="0"/>
        <w:jc w:val="left"/>
        <w:rPr/>
      </w:pPr>
      <w:r>
        <w:rPr/>
        <w:t> </w:t>
      </w:r>
    </w:p>
    <w:p>
      <w:pPr>
        <w:pStyle w:val="TextBody"/>
        <w:bidi w:val="0"/>
        <w:spacing w:before="0" w:after="240"/>
        <w:jc w:val="both"/>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the_company"/>
      <w:bookmarkEnd w:id="3"/>
      <w:r>
        <w:rPr>
          <w:rFonts w:ascii="Times New Roman" w:hAnsi="Times New Roman"/>
          <w:b/>
          <w:color w:val="000000"/>
          <w:sz w:val="20"/>
        </w:rPr>
        <w:t>THE COMPANY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 Restaurant Group, Inc. is an Asian casual dining restaurant concept that offers an extensive menu of traditional Korean and Korean-American food, including high-quality meats, poultry and seafood, all at a superior value. Founded in 2011 by two Korean immigrants, since the opening of our first restaurant in September 2011 we have grown to 59 company-owned restaurants located in California, Arizona, Hawaii, Nevada, Texas, New York, Oregon, New Jersey, Washington, North Carolina, Florida, and six stores in South Korea. Our restaurants have modern décor, lively Korean pop music playing in the background and embedded grills in the center of each table. We believe we offer our customers a unique dining experience in which guests cook the majority of the food themselves, reducing the need for chefs and servers and providing a similar customer experience across our restaurants.</w:t>
      </w:r>
    </w:p>
    <w:p>
      <w:pPr>
        <w:pStyle w:val="TextBody"/>
        <w:bidi w:val="0"/>
        <w:spacing w:before="240" w:after="283"/>
        <w:jc w:val="both"/>
        <w:rPr>
          <w:rFonts w:ascii="Times New Roman" w:hAnsi="Times New Roman"/>
          <w:sz w:val="20"/>
        </w:rPr>
      </w:pPr>
      <w:r>
        <w:rPr>
          <w:rFonts w:ascii="Times New Roman" w:hAnsi="Times New Roman"/>
          <w:i/>
          <w:color w:val="000000"/>
          <w:sz w:val="20"/>
        </w:rPr>
        <w:t>Implications of Being an Emerging Growth Company and a Smaller Reporting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(“JOBS”) Act, and a “smaller reporting company,” as defined under the Securities Exchange Act of 1934, as amended (the “Exchange Act”). As an emerging growth company and a smaller reporting company, we are permitted to follow reduced disclosure requirements compared to those of public companies that are not emerging growth companies or smaller reporting companies. We will remain an emerging growth company until the earlier of (a) the last day of the fiscal year in which we have total annual gross revenue of $1.235 billion or more; (b) the last day of the fiscal year following the fifth anniversary of the date of the completion of our initial public offering; (c) the date on which we have issued more than $1 billion in nonconvertible debt during the previous three years; or (d) the date on which we are deemed to be a large accelerated filer under the rules of the SEC, which means the market value of our voting and non-voting common stock that is held by non-affiliates exceeds $700 million as of the last business day of our second fiscal quarter. For so long as we remain an emerging growth company, we are permitted and intend to rely on exemptions from certain disclosure requirements that are applicable to other public companies that are not emerging growth companies. 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remain a smaller reporting company until the fiscal year following the determination that our voting and non-voting common stock held by non-affiliates is more than $250 million measured on the last business day of our second fiscal quarter, or our annual revenue is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permitted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principal executive offices are located at 11480 South Street, Suite 205, Cerritos, CA 90703, and our telephone number is (562) 356-9929. We maintain a website at www.genkoreanbbq.com. The information contained in, or that can be accessed through, our website is not part of this prospectus.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sz w:val="20"/>
        </w:rPr>
      </w:pPr>
      <w:bookmarkStart w:id="4" w:name="general_information"/>
      <w:bookmarkEnd w:id="4"/>
      <w:r>
        <w:rPr>
          <w:rFonts w:ascii="Times New Roman" w:hAnsi="Times New Roman"/>
          <w:color w:val="000000"/>
          <w:sz w:val="22"/>
        </w:rPr>
        <w:t>GENERAL</w:t>
      </w:r>
      <w:r>
        <w:rPr>
          <w:rFonts w:ascii="Times New Roman" w:hAnsi="Times New Roman"/>
          <w:color w:val="000000"/>
          <w:sz w:val="20"/>
        </w:rPr>
        <w:t xml:space="preserve"> </w:t>
      </w:r>
      <w:r>
        <w:rPr>
          <w:rFonts w:ascii="Times New Roman" w:hAnsi="Times New Roman"/>
          <w:color w:val="000000"/>
          <w:sz w:val="22"/>
        </w:rPr>
        <w:t>INFORMATION</w:t>
      </w:r>
    </w:p>
    <w:p>
      <w:pPr>
        <w:pStyle w:val="TextBody"/>
        <w:bidi w:val="0"/>
        <w:spacing w:before="240" w:after="283"/>
        <w:jc w:val="both"/>
        <w:rPr>
          <w:rFonts w:ascii="Times New Roman" w:hAnsi="Times New Roman"/>
          <w:sz w:val="20"/>
        </w:rPr>
      </w:pPr>
      <w:r>
        <w:rPr>
          <w:rFonts w:ascii="Times New Roman" w:hAnsi="Times New Roman"/>
          <w:color w:val="000000"/>
          <w:sz w:val="22"/>
        </w:rPr>
        <w:t>Unless otherwise indicated or the context otherwise requires, references herein to (i) “GEN Inc.” refers to GEN Restaurant Group, Inc., a Delaware corporation, and not to any of its subsidiaries, (ii) “GEN Restaurant Group” refers to an unconsolidated group of entities listed in the financial statements incorporated by reference herein and owned primarily by either David Kim, our Chief Executive Officer and a director, or Jae Chang, a director, (iii) “GEN LLC” refers to GEN Restaurant Companies, LLC, a Delaware limited liability company and subsidiary of GEN Inc., and (iv) the “Company,” “we,” “us,” “our” and “GEN” refer to GEN Inc. and its consolidated subsidiaries. GEN Inc. was incorporated as a Delaware corporation on October 28, 2021 and prior to the consummation of the Reorganization described below and our initial public offering (our “IPO”), did not conduct any activities other than those incidental to our formation and IPO.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Upon our IPO, the entities comprising GEN Restaurant Group were consolidated as subsidiaries of GEN LLC. The historical owners of GEN Restaurant Group received membership units of GEN LLC in exchange for the ownership interests in GEN Restaurant Group.</w:t>
      </w:r>
      <w:r>
        <w:rPr>
          <w:rFonts w:ascii="Times New Roman" w:hAnsi="Times New Roman"/>
          <w:color w:val="FF0000"/>
          <w:sz w:val="20"/>
        </w:rPr>
        <w:t xml:space="preserve"> </w:t>
      </w:r>
      <w:r>
        <w:rPr>
          <w:rFonts w:ascii="Times New Roman" w:hAnsi="Times New Roman"/>
          <w:color w:val="000000"/>
          <w:sz w:val="22"/>
        </w:rPr>
        <w:t>The following actions took place in connection with the closing of the IPO (collectively, the “Reorganization”):</w:t>
      </w:r>
    </w:p>
    <w:p>
      <w:pPr>
        <w:pStyle w:val="TextBody"/>
        <w:bidi w:val="0"/>
        <w:spacing w:before="240" w:after="283"/>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GEN Inc. amended and restated its certificate of incorporation to provide for, among other things, Class A Common Stock and Class B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That certain Amended and Restated Limited Liability Company Agreement of GEN LLC (the “GEN LLC Agreement”) was amended and restated to provide for, among other things, Class A units and Class B units and appointed GEN Inc. as the managing member of GEN LLC.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GEN Inc. used the proceeds of the offering to acquire newly issued Class A units of GEN LLC.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GEN LLC Agreement permits the members of the GEN LLC to exchange Class B Units for shares of Class A Common Stock on a one-for-one basis (an “Exchange”).</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We entered into a Registration Rights Agreement with the Class B stockholders to provide such holders with certain registration rights whereby, at any time following the first anniversary of the consummation of our IPO, they would have the right to require us to register under the Securities Act of 1933, as amended (the “Securities Act”), the shares of Class A Common Stock issuable upon an Exchange of Class B Units (and the surrender and cancellation of an equivalent number of shares of our Class B Common Stock), subject to certain limitations set forth in the Registration Rights Agreement. The Registration Rights Agreement also provides for piggyback registration rights for the holders party thereto, subject to certain conditions and exceptions</w:t>
      </w:r>
      <w:r>
        <w:rPr>
          <w:rFonts w:ascii="Times New Roman" w:hAnsi="Times New Roman"/>
          <w:color w:val="000000"/>
          <w:sz w:val="22"/>
        </w:rPr>
        <w:t>.</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2"/>
        </w:rPr>
      </w:pPr>
      <w:bookmarkStart w:id="5" w:name="where_you_can_find"/>
      <w:bookmarkEnd w:id="5"/>
      <w:r>
        <w:rPr>
          <w:rFonts w:ascii="Times New Roman" w:hAnsi="Times New Roman"/>
          <w:b/>
          <w:color w:val="000000"/>
          <w:sz w:val="22"/>
        </w:rPr>
        <w:t>WHERE YOU CAN FIND MORE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have filed a registration statement on Form S-3 with the SEC for the securities offered by this prospectus. This prospectus does not include all of the information contained in the registration statement. You should refer to the registration statement and its exhibits for additional information. Statements contained in this prospectus, any prospectus supplement or any document incorporated herein or therein by reference concerning the provisions of documents are necessarily summaries of such documents, and each such statement is qualified in its entirety by reference to the copy of the applicable document filed with the SEC.</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We are required to file annual and quarterly reports, current reports, proxy and other information statements and other information with the SEC. We make these documents publicly available, free of charge, on our website at </w:t>
      </w:r>
      <w:r>
        <w:rPr>
          <w:rFonts w:ascii="Times New Roman" w:hAnsi="Times New Roman"/>
          <w:color w:val="000000"/>
          <w:sz w:val="22"/>
          <w:u w:val="single"/>
        </w:rPr>
        <w:t>www.genkoreanbbq.com</w:t>
      </w:r>
      <w:r>
        <w:rPr>
          <w:rFonts w:ascii="Times New Roman" w:hAnsi="Times New Roman"/>
          <w:color w:val="000000"/>
          <w:sz w:val="20"/>
        </w:rPr>
        <w:t xml:space="preserve"> </w:t>
      </w:r>
      <w:r>
        <w:rPr>
          <w:rFonts w:ascii="Times New Roman" w:hAnsi="Times New Roman"/>
          <w:color w:val="000000"/>
          <w:sz w:val="22"/>
        </w:rPr>
        <w:t xml:space="preserve">as soon as reasonably practicable after filing such documents with the SEC. The information contained on our website is not part of this prospectus. You also can read these filings, including the registration statement, on the SEC’s website at </w:t>
      </w:r>
      <w:r>
        <w:rPr>
          <w:rFonts w:ascii="Times New Roman" w:hAnsi="Times New Roman"/>
          <w:color w:val="000000"/>
          <w:sz w:val="22"/>
          <w:u w:val="single"/>
        </w:rPr>
        <w:t>www.sec.gov</w:t>
      </w:r>
      <w:r>
        <w:rPr>
          <w:rFonts w:ascii="Times New Roman" w:hAnsi="Times New Roman"/>
          <w:color w:val="000000"/>
          <w:sz w:val="22"/>
        </w:rPr>
        <w:t>.</w:t>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bookmarkStart w:id="6" w:name="info_reference"/>
      <w:bookmarkEnd w:id="6"/>
      <w:r>
        <w:rPr>
          <w:rFonts w:ascii="Times New Roman" w:hAnsi="Times New Roman"/>
          <w:b/>
          <w:color w:val="000000"/>
          <w:sz w:val="22"/>
        </w:rPr>
        <w:t>INCORPORATION OF CERTAIN</w:t>
      </w:r>
      <w:r>
        <w:rPr>
          <w:rFonts w:ascii="Times New Roman" w:hAnsi="Times New Roman"/>
          <w:color w:val="000000"/>
          <w:sz w:val="20"/>
        </w:rPr>
        <w:t xml:space="preserve"> </w:t>
      </w:r>
      <w:r>
        <w:rPr>
          <w:rFonts w:ascii="Times New Roman" w:hAnsi="Times New Roman"/>
          <w:b/>
          <w:color w:val="000000"/>
          <w:sz w:val="22"/>
        </w:rPr>
        <w:t>INFORMATION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 allows us to “incorporate by reference” into this prospectus the information we file with the SEC,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made by us with the SEC under Sections 13(a), 13(c), 14 or 15(d) of the Exchange Act, including documents filed after the initial filing date of the registration statement of which this prospectus is a part and prior to the effectiveness of such registration statement, except for information “furnished” under Items 2.02, 7.01 or 9.01 on Form 8-K or other information “furnished” to the SEC which is not deemed filed and not incorporated in this prospectus, until the termination of the offering of securities described in this prospectus and any applicable prospectus supplement. These documents may include periodic reports, like Annual Reports on Form 10-K, Quarterly Reports on Form 10-Q and Current Reports on Form 8-K, as well as proxy and other statements. We hereby incorporate by reference the following documents: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Annual Report on Form 10-K for the year ended December 31, 2025 filed with the SEC on </w:t>
      </w:r>
      <w:hyperlink r:id="rId2">
        <w:r>
          <w:rPr>
            <w:rStyle w:val="InternetLink"/>
            <w:rFonts w:ascii="Times New Roman" w:hAnsi="Times New Roman"/>
            <w:color w:val="0000FF"/>
            <w:sz w:val="22"/>
            <w:u w:val="single"/>
          </w:rPr>
          <w:t>March 31, 2026</w:t>
        </w:r>
      </w:hyperlink>
      <w:r>
        <w:rPr>
          <w:rFonts w:ascii="Times New Roman" w:hAnsi="Times New Roman"/>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the information specifically incorporated by reference into our Annual Report on Form 10-K for the fiscal year ended December 31, 2025 filed with the SEC on </w:t>
      </w:r>
      <w:hyperlink r:id="rId3">
        <w:r>
          <w:rPr>
            <w:rStyle w:val="InternetLink"/>
            <w:rFonts w:ascii="Times New Roman" w:hAnsi="Times New Roman"/>
            <w:color w:val="0000FF"/>
            <w:sz w:val="22"/>
            <w:u w:val="single"/>
          </w:rPr>
          <w:t>March 31, 2026</w:t>
        </w:r>
      </w:hyperlink>
      <w:r>
        <w:rPr>
          <w:color w:val="000000"/>
        </w:rPr>
        <w:t xml:space="preserve"> </w:t>
      </w:r>
      <w:r>
        <w:rPr>
          <w:rFonts w:ascii="Times New Roman" w:hAnsi="Times New Roman"/>
          <w:color w:val="000000"/>
          <w:sz w:val="22"/>
        </w:rPr>
        <w:t xml:space="preserve">from our definitive proxy statement on Schedule 14A, filed with the SEC on </w:t>
      </w:r>
      <w:hyperlink r:id="rId4">
        <w:r>
          <w:rPr>
            <w:rStyle w:val="InternetLink"/>
            <w:rFonts w:ascii="Times New Roman" w:hAnsi="Times New Roman"/>
            <w:color w:val="0000FF"/>
            <w:sz w:val="22"/>
            <w:u w:val="single"/>
          </w:rPr>
          <w:t>April 30, 2026</w:t>
        </w:r>
      </w:hyperlink>
      <w:r>
        <w:rPr>
          <w:rFonts w:ascii="Times New Roman" w:hAnsi="Times New Roman"/>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Quarterly Report on Form 10-Q for the quarter ended March 31, 2026 filed with the SEC on </w:t>
      </w:r>
      <w:hyperlink r:id="rId5">
        <w:r>
          <w:rPr>
            <w:rStyle w:val="InternetLink"/>
            <w:rFonts w:ascii="Times New Roman" w:hAnsi="Times New Roman"/>
            <w:color w:val="0000FF"/>
            <w:sz w:val="22"/>
            <w:u w:val="single"/>
          </w:rPr>
          <w:t>May 14, 2026</w:t>
        </w:r>
      </w:hyperlink>
      <w:r>
        <w:rPr>
          <w:rFonts w:ascii="Times New Roman" w:hAnsi="Times New Roman"/>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Current Reports on Form 8-K filed with the SEC on </w:t>
      </w:r>
      <w:hyperlink r:id="rId6">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w:t>
      </w:r>
      <w:hyperlink r:id="rId7">
        <w:r>
          <w:rPr>
            <w:rStyle w:val="InternetLink"/>
            <w:rFonts w:ascii="Times New Roman" w:hAnsi="Times New Roman"/>
            <w:color w:val="0000FF"/>
            <w:sz w:val="22"/>
            <w:u w:val="single"/>
          </w:rPr>
          <w:t>April 30, 2026</w:t>
        </w:r>
      </w:hyperlink>
      <w:r>
        <w:rPr>
          <w:color w:val="000000"/>
        </w:rPr>
        <w:t xml:space="preserve"> </w:t>
      </w:r>
      <w:r>
        <w:rPr>
          <w:rFonts w:ascii="Times New Roman" w:hAnsi="Times New Roman"/>
          <w:color w:val="000000"/>
          <w:sz w:val="22"/>
        </w:rPr>
        <w:t xml:space="preserve">and </w:t>
      </w:r>
      <w:hyperlink r:id="rId8">
        <w:r>
          <w:rPr>
            <w:rStyle w:val="InternetLink"/>
            <w:rFonts w:ascii="Times New Roman" w:hAnsi="Times New Roman"/>
            <w:color w:val="0000FF"/>
            <w:sz w:val="22"/>
            <w:u w:val="single"/>
          </w:rPr>
          <w:t>May 14, 2026</w:t>
        </w:r>
      </w:hyperlink>
      <w:r>
        <w:rPr>
          <w:rFonts w:ascii="Times New Roman" w:hAnsi="Times New Roman"/>
          <w:color w:val="000000"/>
          <w:sz w:val="22"/>
        </w:rPr>
        <w:t>;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the description of our common stock contained in our Registration Statement on Form 8-A/A filed with the SEC on </w:t>
      </w:r>
      <w:hyperlink r:id="rId9">
        <w:r>
          <w:rPr>
            <w:rStyle w:val="InternetLink"/>
            <w:rFonts w:ascii="Times New Roman" w:hAnsi="Times New Roman"/>
            <w:color w:val="0000FF"/>
            <w:sz w:val="22"/>
            <w:u w:val="single"/>
          </w:rPr>
          <w:t>June 26, 2023</w:t>
        </w:r>
      </w:hyperlink>
      <w:r>
        <w:rPr>
          <w:rFonts w:ascii="Times New Roman" w:hAnsi="Times New Roman"/>
          <w:color w:val="000000"/>
          <w:sz w:val="22"/>
        </w:rPr>
        <w:t xml:space="preserve">, including any amendment or report filed with the SEC for the purpose of updating such description.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You may request a copy of these filings, at no cost, by writing or telephoning us at the following: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GEN Restaurant Group, Inc.</w:t>
      </w:r>
    </w:p>
    <w:p>
      <w:pPr>
        <w:pStyle w:val="TextBody"/>
        <w:bidi w:val="0"/>
        <w:jc w:val="center"/>
        <w:rPr>
          <w:rFonts w:ascii="Times New Roman" w:hAnsi="Times New Roman"/>
          <w:color w:val="000000"/>
          <w:sz w:val="22"/>
        </w:rPr>
      </w:pPr>
      <w:r>
        <w:rPr>
          <w:rFonts w:ascii="Times New Roman" w:hAnsi="Times New Roman"/>
          <w:color w:val="000000"/>
          <w:sz w:val="22"/>
        </w:rPr>
        <w:t>Attention: Chief Financial Officer</w:t>
      </w:r>
    </w:p>
    <w:p>
      <w:pPr>
        <w:pStyle w:val="TextBody"/>
        <w:bidi w:val="0"/>
        <w:jc w:val="center"/>
        <w:rPr>
          <w:rFonts w:ascii="Times New Roman" w:hAnsi="Times New Roman"/>
          <w:color w:val="000000"/>
          <w:sz w:val="22"/>
        </w:rPr>
      </w:pPr>
      <w:r>
        <w:rPr>
          <w:rFonts w:ascii="Times New Roman" w:hAnsi="Times New Roman"/>
          <w:color w:val="000000"/>
          <w:sz w:val="22"/>
        </w:rPr>
        <w:t>11480 South Street, Suite 205</w:t>
      </w:r>
    </w:p>
    <w:p>
      <w:pPr>
        <w:pStyle w:val="TextBody"/>
        <w:bidi w:val="0"/>
        <w:jc w:val="center"/>
        <w:rPr>
          <w:rFonts w:ascii="Times New Roman" w:hAnsi="Times New Roman"/>
          <w:color w:val="000000"/>
          <w:sz w:val="22"/>
        </w:rPr>
      </w:pPr>
      <w:r>
        <w:rPr>
          <w:rFonts w:ascii="Times New Roman" w:hAnsi="Times New Roman"/>
          <w:color w:val="000000"/>
          <w:sz w:val="22"/>
        </w:rPr>
        <w:t>Cerritos, CA 90703</w:t>
      </w:r>
    </w:p>
    <w:p>
      <w:pPr>
        <w:pStyle w:val="TextBody"/>
        <w:bidi w:val="0"/>
        <w:jc w:val="center"/>
        <w:rPr>
          <w:rFonts w:ascii="Times New Roman" w:hAnsi="Times New Roman"/>
          <w:color w:val="000000"/>
          <w:sz w:val="22"/>
        </w:rPr>
      </w:pPr>
      <w:r>
        <w:rPr>
          <w:rFonts w:ascii="Times New Roman" w:hAnsi="Times New Roman"/>
          <w:color w:val="000000"/>
          <w:sz w:val="22"/>
        </w:rPr>
        <w:t>(562) 356-9929</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provided above, no other information, including information on our website, is incorporated by reference in this prospectus.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center"/>
        <w:rPr>
          <w:rFonts w:ascii="Times New Roman" w:hAnsi="Times New Roman"/>
          <w:b/>
          <w:color w:val="000000"/>
          <w:sz w:val="22"/>
        </w:rPr>
      </w:pPr>
      <w:bookmarkStart w:id="7" w:name="risk_factors"/>
      <w:bookmarkEnd w:id="7"/>
      <w:r>
        <w:rPr>
          <w:rFonts w:ascii="Times New Roman" w:hAnsi="Times New Roman"/>
          <w:b/>
          <w:color w:val="000000"/>
          <w:sz w:val="22"/>
        </w:rPr>
        <w:t>RISK FACTORS</w:t>
      </w:r>
    </w:p>
    <w:p>
      <w:pPr>
        <w:pStyle w:val="TextBody"/>
        <w:bidi w:val="0"/>
        <w:jc w:val="both"/>
        <w:rPr>
          <w:rFonts w:ascii="Times New Roman" w:hAnsi="Times New Roman"/>
          <w:color w:val="000000"/>
          <w:sz w:val="20"/>
        </w:rPr>
      </w:pPr>
      <w:r>
        <w:rPr>
          <w:rFonts w:ascii="Times New Roman" w:hAnsi="Times New Roman"/>
          <w:color w:val="000000"/>
          <w:sz w:val="20"/>
        </w:rPr>
        <w:t>Investment in any common stock offered pursuant to this prospectus and any accompanying prospectus supplement involves a high degree of risk. See “Item 1A, Risk Factors” in our most recent Annual Report on Form 10-K and in our subsequent Quarterly Reports on Form 10-Q, risk factors included in any other documents we file with the SEC that are deemed incorporated by reference into this prospectus and the “Risk Factors” section in any applicable prospectus supplement for a discussion of the factors you should carefully consider before deciding to purchase our common stock. Before you invest in our common stock, you should carefully consider these risks as well as other information we include or incorporate by reference into this prospectus and any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common stock.</w:t>
      </w:r>
    </w:p>
    <w:p>
      <w:pPr>
        <w:pStyle w:val="Heading1"/>
        <w:bidi w:val="0"/>
        <w:spacing w:before="240" w:after="283"/>
        <w:jc w:val="center"/>
        <w:rPr>
          <w:rFonts w:ascii="Times New Roman" w:hAnsi="Times New Roman"/>
          <w:color w:val="000000"/>
          <w:sz w:val="22"/>
        </w:rPr>
      </w:pPr>
      <w:bookmarkStart w:id="8" w:name="cautionary_information_about_forward"/>
      <w:bookmarkEnd w:id="8"/>
      <w:r>
        <w:rPr>
          <w:rFonts w:ascii="Times New Roman" w:hAnsi="Times New Roman"/>
          <w:color w:val="000000"/>
          <w:sz w:val="22"/>
        </w:rPr>
        <w:t>CAUTIONARY INFORMATION ABOUT FORWARD-LOOKING STATEMENTS</w:t>
      </w:r>
    </w:p>
    <w:p>
      <w:pPr>
        <w:pStyle w:val="TextBody"/>
        <w:bidi w:val="0"/>
        <w:spacing w:before="240" w:after="283"/>
        <w:jc w:val="both"/>
        <w:rPr>
          <w:rFonts w:ascii="Times New Roman" w:hAnsi="Times New Roman"/>
          <w:sz w:val="20"/>
        </w:rPr>
      </w:pPr>
      <w:r>
        <w:rPr>
          <w:rFonts w:ascii="Times New Roman" w:hAnsi="Times New Roman"/>
          <w:color w:val="000000"/>
          <w:sz w:val="22"/>
        </w:rPr>
        <w:t>The information in this prospectus, including information in documents incorporated by reference in this prospectus, includes “forward-looking statements” within the meaning of Section 27A of the Securities Act and Section 21E of the Exchange Act.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forward-looking statements are not historical facts but rather are based on current expectations, estimates and projections about our business and industry, and our beliefs and assumptions. Words such as “anticipate,” “believe,” “consider,” “estimate,” “expects,” “intend,” “may,” “plan,” “potential,” “predict,” “project,” “should,” “will,” “would” and variations of these words and similar expressions identify forward-looking statements. These statements are not guarantees of future performance and are subject to risks, uncertainties and other factors, many of which are beyond our control, are difficult to predict and could cause actual results to differ materially (both favorable and unfavorably) from those expressed or forecasted in the forward-looking statements.</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These risks and uncertainties include, but are not limited to, those described in our most recent Annual Report on Form 10-K and our subsequent Quarterly Reports on Form 10-Q, and in the “Risk Factors” section in any applicable prospectus supplement. See “Where You Can Find More Information.” Forward-looking statements that were believed to be true at the time made may ultimately prove to be incorrect or false. We undertake no obligation to revise or publicly release the results of any revision to these forward-looking statements. Given these risks and uncertainties, readers are cautioned not to place undue reliance on such forward-looking statements.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Although we believe the expectations reflected in the forward-looking statements are reasonable, we cannot guarantee future results, level of activity, performance or achievements. You should not rely upon forward-looking statements as predictions of future events. Unless required by law, we do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they are made.</w:t>
      </w:r>
    </w:p>
    <w:p>
      <w:pPr>
        <w:pStyle w:val="TextBody"/>
        <w:bidi w:val="0"/>
        <w:jc w:val="both"/>
        <w:rPr>
          <w:rFonts w:ascii="Times New Roman" w:hAnsi="Times New Roman"/>
          <w:sz w:val="20"/>
        </w:rPr>
      </w:pPr>
      <w:r>
        <w:rPr>
          <w:rFonts w:ascii="Times New Roman" w:hAnsi="Times New Roman"/>
          <w:color w:val="000000"/>
          <w:sz w:val="22"/>
        </w:rPr>
        <w:t>This prospectus, any prospectus supplement and the other documents incorporated by reference herein and therein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While we believe these industry publications and third-party research, surveys and studies are reliable, we have not independently verified such data.</w:t>
      </w:r>
    </w:p>
    <w:p>
      <w:pPr>
        <w:pStyle w:val="TextBody"/>
        <w:bidi w:val="0"/>
        <w:spacing w:before="0" w:after="240"/>
        <w:jc w:val="both"/>
        <w:rPr/>
      </w:pPr>
      <w:r>
        <w:rPr/>
        <w:t> </w:t>
      </w:r>
    </w:p>
    <w:p>
      <w:pPr>
        <w:pStyle w:val="Heading1"/>
        <w:bidi w:val="0"/>
        <w:jc w:val="center"/>
        <w:rPr>
          <w:rFonts w:ascii="Times New Roman" w:hAnsi="Times New Roman"/>
          <w:color w:val="000000"/>
          <w:sz w:val="22"/>
        </w:rPr>
      </w:pPr>
      <w:bookmarkStart w:id="9" w:name="use_of_proceeds"/>
      <w:bookmarkEnd w:id="9"/>
      <w:r>
        <w:rPr>
          <w:rFonts w:ascii="Times New Roman" w:hAnsi="Times New Roman"/>
          <w:color w:val="000000"/>
          <w:sz w:val="22"/>
        </w:rPr>
        <w:t>USE OF PROCEEDS</w:t>
      </w:r>
    </w:p>
    <w:p>
      <w:pPr>
        <w:pStyle w:val="TextBody"/>
        <w:bidi w:val="0"/>
        <w:spacing w:before="240" w:after="283"/>
        <w:jc w:val="both"/>
        <w:rPr>
          <w:rFonts w:ascii="Times New Roman" w:hAnsi="Times New Roman"/>
          <w:sz w:val="20"/>
        </w:rPr>
      </w:pPr>
      <w:r>
        <w:rPr>
          <w:rFonts w:ascii="Times New Roman" w:hAnsi="Times New Roman"/>
          <w:color w:val="000000"/>
          <w:sz w:val="22"/>
        </w:rPr>
        <w:t>We intend to use the net proceeds from the sale of our common stock as set forth in the applicable prospectus supplement.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sz w:val="20"/>
        </w:rPr>
      </w:pPr>
      <w:bookmarkStart w:id="10" w:name="dividend_policy"/>
      <w:bookmarkEnd w:id="10"/>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not required to pay any dividends, but we did declare and pay a special cash dividend on our common stock during 2025. However, we do not presently have a plan to pay cash dividends on our common stock in the future. Payment of future cash dividends, if any, will be at discretion of our board of directors after taking into account various factors, including our financial condition, operating results, current and anticipated cash needs, outstanding indebtedness, plans for expansion and restrictions imposed by our debt arrangements, if any.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center"/>
        <w:rPr>
          <w:rFonts w:ascii="Times New Roman" w:hAnsi="Times New Roman"/>
          <w:b/>
          <w:color w:val="000000"/>
          <w:sz w:val="22"/>
        </w:rPr>
      </w:pPr>
      <w:bookmarkStart w:id="11" w:name="description_capital_stock"/>
      <w:bookmarkEnd w:id="11"/>
      <w:r>
        <w:rPr>
          <w:rFonts w:ascii="Times New Roman" w:hAnsi="Times New Roman"/>
          <w:b/>
          <w:color w:val="000000"/>
          <w:sz w:val="22"/>
        </w:rPr>
        <w:t>DESCRIPTION OF CAPITAL STOCK</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is a summary of the material provisions of our capital stock, as well as other material terms of our amended and restated certificate of incorporation and our amended and restated bylaws. This summary does not purport to be complete and is subject to and qualified in its entirety by reference to our amended and restated certificate of incorporation and our amended and restated bylaws, copies of which are filed as exhibits to the registration statement of which this prospectus is a part and are incorporated by reference herein. We encourage you to read our amended and restated certificate of incorporation and our amended and restated bylaws for additional information.</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authorized capital stock consists of 70,000,000 shares of Class A Common Stock, 50,000,000 shares of Class B Common Stock and 10,000,000 shares of “blank check” preferred stock, $0.001 par value per share.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two classes of common stock: Class A and Class B. Each share of Class A Common Stock entitles the holder to one vote per share, while each share of Class B Common Stock entitles the holder to ten votes per share. Holders of our Class A Common Stock and Class B Common Stock vote together as a single class on all matters presented to our stockholders for their vote or approval, except as provided in our amended and restated certificate of incorporation or as otherwise required by applicable law. Pursuant to our amended and restated certificate of incorporation, we may not amend, alter, repeal or waive the provisions of our amended and restated certificate of incorporation that relate to the terms of our capital stock without the approval of the holders of a majority of the then outstanding shares of our Class B Common Stock, voting as a class. Holders of the Class A Common Stock and Class B Common Stock, as the case may be, would also have a separate class vote if we subdivide, combine or reclassify shares of the other class without concurrently subdividing, combining or reclassifying shares of such class in a proportional manner. Pursuant to the Delaware General Corporation Law (the “DGCL”), the holders of the outstanding shares of a class shall be entitled to vote as a class upon a proposed amendment, whether or not entitled to vote thereon by the certificate of incorporation, if the amendment would increase or decrease the par value of the shares of such class or alter or change the powers, preferences or special rights of the shares of such class so as to affect them adversely.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Class A Common Stock</w:t>
      </w:r>
    </w:p>
    <w:p>
      <w:pPr>
        <w:pStyle w:val="TextBody"/>
        <w:bidi w:val="0"/>
        <w:spacing w:before="120" w:after="283"/>
        <w:jc w:val="both"/>
        <w:rPr>
          <w:rFonts w:ascii="Times New Roman" w:hAnsi="Times New Roman"/>
          <w:sz w:val="20"/>
        </w:rPr>
      </w:pPr>
      <w:r>
        <w:rPr>
          <w:rFonts w:ascii="Times New Roman" w:hAnsi="Times New Roman"/>
          <w:i/>
          <w:color w:val="000000"/>
          <w:sz w:val="20"/>
        </w:rPr>
        <w:t>Voting</w:t>
      </w:r>
      <w:r>
        <w:rPr>
          <w:rFonts w:ascii="Times New Roman" w:hAnsi="Times New Roman"/>
          <w:color w:val="000000"/>
          <w:sz w:val="20"/>
        </w:rPr>
        <w:t>. Holders of our Class A Common Stock are entitled to one vote for each share held of record on all matters submitted to a vote of stockholders. Stockholders do not have the ability to cumulate votes for the election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before="240" w:after="283"/>
        <w:jc w:val="both"/>
        <w:rPr>
          <w:rFonts w:ascii="Times New Roman" w:hAnsi="Times New Roman"/>
          <w:sz w:val="20"/>
        </w:rPr>
      </w:pPr>
      <w:r>
        <w:rPr>
          <w:rFonts w:ascii="Times New Roman" w:hAnsi="Times New Roman"/>
          <w:i/>
          <w:color w:val="000000"/>
          <w:sz w:val="20"/>
        </w:rPr>
        <w:t>Dissolution and Liquidation</w:t>
      </w:r>
      <w:r>
        <w:rPr>
          <w:rFonts w:ascii="Times New Roman" w:hAnsi="Times New Roman"/>
          <w:color w:val="000000"/>
          <w:sz w:val="20"/>
        </w:rPr>
        <w:t>. 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w:t>
      </w:r>
    </w:p>
    <w:p>
      <w:pPr>
        <w:pStyle w:val="TextBody"/>
        <w:bidi w:val="0"/>
        <w:spacing w:before="240" w:after="283"/>
        <w:jc w:val="both"/>
        <w:rPr>
          <w:rFonts w:ascii="Times New Roman" w:hAnsi="Times New Roman"/>
          <w:sz w:val="20"/>
        </w:rPr>
      </w:pPr>
      <w:r>
        <w:rPr>
          <w:rFonts w:ascii="Times New Roman" w:hAnsi="Times New Roman"/>
          <w:i/>
          <w:color w:val="000000"/>
          <w:sz w:val="20"/>
        </w:rPr>
        <w:t>No Preemptive Rights</w:t>
      </w:r>
      <w:r>
        <w:rPr>
          <w:rFonts w:ascii="Times New Roman" w:hAnsi="Times New Roman"/>
          <w:color w:val="000000"/>
          <w:sz w:val="20"/>
        </w:rPr>
        <w:t>. Holders of our Class A Common Stock do not have preemptive, subscription, redemption or conversion rights.</w:t>
      </w:r>
    </w:p>
    <w:p>
      <w:pPr>
        <w:pStyle w:val="TextBody"/>
        <w:bidi w:val="0"/>
        <w:jc w:val="both"/>
        <w:rPr>
          <w:rFonts w:ascii="Times New Roman" w:hAnsi="Times New Roman"/>
          <w:sz w:val="20"/>
        </w:rPr>
      </w:pPr>
      <w:r>
        <w:rPr>
          <w:rFonts w:ascii="Times New Roman" w:hAnsi="Times New Roman"/>
          <w:i/>
          <w:color w:val="000000"/>
          <w:sz w:val="20"/>
        </w:rPr>
        <w:t>Issuance of Additional Class</w:t>
      </w:r>
      <w:r>
        <w:rPr>
          <w:rFonts w:ascii="Times New Roman" w:hAnsi="Times New Roman"/>
          <w:color w:val="000000"/>
          <w:sz w:val="20"/>
        </w:rPr>
        <w:t xml:space="preserve"> </w:t>
      </w:r>
      <w:r>
        <w:rPr>
          <w:rFonts w:ascii="Times New Roman" w:hAnsi="Times New Roman"/>
          <w:i/>
          <w:color w:val="000000"/>
          <w:sz w:val="20"/>
        </w:rPr>
        <w:t>A Common Stock</w:t>
      </w:r>
      <w:r>
        <w:rPr>
          <w:rFonts w:ascii="Times New Roman" w:hAnsi="Times New Roman"/>
          <w:color w:val="000000"/>
          <w:sz w:val="20"/>
        </w:rPr>
        <w:t xml:space="preserve">. We may issue additional shares of Class A Common Stock from time to time, subject to applicable provisions of our amended and restated certificate of incorporation, our amended and restated bylaws and the DGCL. We are obligated to issue Class A Common Stock (subject to the transfer and exchange restrictions set forth in the GEN LLC Agreement) to holders of Class B Units who exchange their Class B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Units of GEN LLC for shares of our Class A Common Stock on a one-for-one basis (unless we elect to satisfy such exchange for cash). When a Class B Unit is exchanged for a share of our Class A Common Stock, the corresponding share of our Class B Common Stock will automatically be surrendered and cancelled.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Class B Common Stock</w:t>
      </w:r>
    </w:p>
    <w:p>
      <w:pPr>
        <w:pStyle w:val="TextBody"/>
        <w:bidi w:val="0"/>
        <w:spacing w:before="120" w:after="283"/>
        <w:jc w:val="both"/>
        <w:rPr>
          <w:rFonts w:ascii="Times New Roman" w:hAnsi="Times New Roman"/>
          <w:sz w:val="20"/>
        </w:rPr>
      </w:pPr>
      <w:r>
        <w:rPr>
          <w:rFonts w:ascii="Times New Roman" w:hAnsi="Times New Roman"/>
          <w:i/>
          <w:color w:val="000000"/>
          <w:sz w:val="20"/>
        </w:rPr>
        <w:t>Voting</w:t>
      </w:r>
      <w:r>
        <w:rPr>
          <w:rFonts w:ascii="Times New Roman" w:hAnsi="Times New Roman"/>
          <w:color w:val="000000"/>
          <w:sz w:val="20"/>
        </w:rPr>
        <w:t>. Holders of our Class B Common Stock are entitled to ten votes for each share held of record on all matters submitted to a vote of stockholders. Stockholders do not have the ability to cumulate votes for the election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Holders of our Class B Common Stock are not entitled to dividends in respect of their shares of Class B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Dissolution and Liquidation</w:t>
      </w:r>
      <w:r>
        <w:rPr>
          <w:rFonts w:ascii="Times New Roman" w:hAnsi="Times New Roman"/>
          <w:color w:val="000000"/>
          <w:sz w:val="20"/>
        </w:rPr>
        <w:t>. Upon our dissolution or liquidation or the sale of all or substantially all of our assets, the holders of our Class B Common Stock will not be entitled to receive any distributions.</w:t>
      </w:r>
    </w:p>
    <w:p>
      <w:pPr>
        <w:pStyle w:val="TextBody"/>
        <w:bidi w:val="0"/>
        <w:spacing w:before="240" w:after="283"/>
        <w:jc w:val="both"/>
        <w:rPr>
          <w:rFonts w:ascii="Times New Roman" w:hAnsi="Times New Roman"/>
          <w:sz w:val="20"/>
        </w:rPr>
      </w:pPr>
      <w:r>
        <w:rPr>
          <w:rFonts w:ascii="Times New Roman" w:hAnsi="Times New Roman"/>
          <w:i/>
          <w:color w:val="000000"/>
          <w:sz w:val="20"/>
        </w:rPr>
        <w:t>No Preemptive Rights</w:t>
      </w:r>
      <w:r>
        <w:rPr>
          <w:rFonts w:ascii="Times New Roman" w:hAnsi="Times New Roman"/>
          <w:color w:val="000000"/>
          <w:sz w:val="20"/>
        </w:rPr>
        <w:t>. Holders of our Class B Common Stock do not have preemptive, subscription, redemption or conversion rights. The Class B Common Stock is subject to automatic retirement upon an exchange of a Class B Unit of GEN LLC for a share of Class A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Issuance of Additional Class</w:t>
      </w:r>
      <w:r>
        <w:rPr>
          <w:rFonts w:ascii="Times New Roman" w:hAnsi="Times New Roman"/>
          <w:color w:val="000000"/>
          <w:sz w:val="20"/>
        </w:rPr>
        <w:t xml:space="preserve"> </w:t>
      </w:r>
      <w:r>
        <w:rPr>
          <w:rFonts w:ascii="Times New Roman" w:hAnsi="Times New Roman"/>
          <w:i/>
          <w:color w:val="000000"/>
          <w:sz w:val="20"/>
        </w:rPr>
        <w:t>B Common Stock</w:t>
      </w:r>
      <w:r>
        <w:rPr>
          <w:rFonts w:ascii="Times New Roman" w:hAnsi="Times New Roman"/>
          <w:color w:val="000000"/>
          <w:sz w:val="20"/>
        </w:rPr>
        <w:t>. After our IPO and the Reorganization, no additional issuance of shares of Class B Common Stock will occur, except to holders of Class B Units as necessary to maintain a one-to-one ratio between the number of Class B Units and the number of shares of Class B Common Stock outstanding, including in connection with a stock split, stock dividend, reclassification or similar transaction. In connection with an exchange of a Class B Unit for Class A Common Stock, the corresponding share of Class B Common Stock will automatically be retired.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our board of directors has the authority, without further action by the stockholders, to issue up to 10,000,000 shares of preferred stock. Our board of directors is able to issue preferred stock in one or more series and determine the rights, preferences, privileges, qualifications and restrictions granted to or imposed upon our preferred stock, including dividend rights, conversion rights, voting rights, rights and terms of redemption, liquidation preferences and sinking fund terms, any or all of which may be greater than the rights of our common stock. Issuances of preferred stock could adversely affect the voting power of holders of our common stock and reduce the likelihood that holders of our common stock will receive dividend payments and payments upon liquidation. Any issuance of preferred stock could also have the effect of decreasing the market price of our common stock and could delay, deter or prevent a change in control of our company.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Limitations on Directors’ and Officers’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governing documents limit the liability of, and require us to indemnify, our directors and officers to the fullest extent permitted by the DGCL. The DGCL permits a corporation to limit or eliminate a director’s or officer’s personal liability to the corporation or the holders of its capital stock for breaches of directors’ or officers’ fiduciary duties as directors or officers. This limitation is unavailable for acts or omissions by a director or officer which (i) were not in good faith, (ii) were the result of intentional misconduct or a knowing violation of law, (iii) the director or officer derived an improper personal benefit from (such as a financial profit or other advantage to which the director or officers was not legally entitled) or (iv) breached the director’s or officer’s duty of loyalty. The DGCL also prohibits limitations on director liability under Section 174 of the DGCL, which relates to certain unlawful dividend declarations and stock repurchases, and officer liability in any action by or in the right of the corporation. Our amended and restated certificate of incorporation includes provisions that eliminate, to the extent allowable under the DGCL, the personal liability of directors or officers for monetary damages for actions taken as a director or officer, as the case may be. Our amended and restated bylaws also provide that we must indemnify and advance reasonable expenses to our directors and officers to the fullest extent authorized by the DGCL. We are also expressly authorized to carry directors’ and officers’ insurance for our directors, officers and certain employees for certain liabilities. We maintain insurance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insures our directors and officers against certain losses and which insures us against our obligations to indemnify the directors and officers.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Exclusive Forum Clause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select or consent in writing to the selection of another forum, the Court of Chancery of the State of Delaware (or, if the Court of Chancery does not have jurisdiction, another state court or a federal court located within the State of Delaware) shall be the exclusive forum for any “internal corporate claims,” as defined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 In addition, our amended and restated certificate of incorporation provides that the federal district courts of the United States will be the exclusive forum for resolving any complaint asserting a cause of action arising under the Securities Act. We note, however,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is deemed to have notice of and consented to the foregoing provisions.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Delaware Takeover Statute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Section 203 of the DGCL, an anti-takeover statute. In general, Section 203 prohibits a publicly 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the board of directors, including discouraging attempts that might result in a premium over the market price for the shares of common stock held by stockholders.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Provisions of Our Certificate of Incorporation and Bylaws to be Adopted and Delaware Law That May Have an Anti-Takeover Effect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of the DGCL, our amended and restated certificate of incorporation and our amended and restated bylaws could make it more difficult to acquire our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our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of directors to maximize stockholder value. However, these provisions may delay, deter or prevent a merger or acquisition of us that a stockholder might consider is in its best interest, including those attempts that might result in a premium over the prevailing market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Classified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our board of directors be divided into three classes of directors, with the classes to be as nearly equal in number as possible, designated Class I, Class II and Class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 Pursuant to our amended and restated certificate of incorporation, Class I directors shall initially serve until the first annual meeting of stockholders following the effectiveness of our amended and restated certificate of incorporation; Class II directors shall initially serve until the second annual meeting of stockholders following the effectiveness of our amended and restated certificate of incorporation; and Class III directors shall initially serve until the third annual meeting of stockholders following the effectiveness of our amended and restated certificate of incorporation. Commencing with the first annual meeting of stockholders following the effectiveness of our amended and restated certificate of incorporation and ending with the third annual meeting of stockholders thereafter, directors of each class the term of which shall then expire shall be elected to hold office for a three-year term.</w:t>
      </w:r>
    </w:p>
    <w:p>
      <w:pPr>
        <w:pStyle w:val="TextBody"/>
        <w:bidi w:val="0"/>
        <w:jc w:val="left"/>
        <w:rPr>
          <w:rFonts w:ascii="Times New Roman" w:hAnsi="Times New Roman"/>
          <w:color w:val="000000"/>
          <w:sz w:val="20"/>
        </w:rPr>
      </w:pPr>
      <w:r>
        <w:rPr>
          <w:rFonts w:ascii="Times New Roman" w:hAnsi="Times New Roman"/>
          <w:color w:val="000000"/>
          <w:sz w:val="20"/>
        </w:rPr>
        <w:t>The classification of directors has the effect of making it more difficult for stockholders to change the composition of our board of directors. Our amended and restated certificate of incorporation provides that the number of directors will be fixed from time to time exclusively pursuant to a resolution adopted by the board of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Removal of Directors; Vacancies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any director may only be removed for cause by the affirmative vote of at least a majority of the voting power of our outstanding shares of common stock. 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of directors may be filled at any time by the remaining directors, whether resulting from an increase in the number of directors or the death, removal or resignation of a director.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 Cumulative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DGCL provides that a stockholder’s right to vote cumulatively in the election of directors does not exist unless the certificate of incorporation specifically provides otherwise. Our amended and restated certificate of incorporation does not permit cumulative voting.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Requirements for Advance Notification of Stockholder Meetings, Nominations and Proposals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special meetings of the stockholders may be called by or at the direction of the board of directors, the chairperson of our board or the chief executive officer with the concurrence of a majority of the board of directors. In addition, our amended and restated certificate of incorporation and amended and restated bylaws provide that special meetings of the stockholders may not be called by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bylaws establish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Our amended and restated bylaws allow the chairperson of the meeting of stockholders to adopt rules and regulations for the conduct of meetings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Supermajority Voting for Amendments to Our Governing Documents</w:t>
      </w:r>
    </w:p>
    <w:p>
      <w:pPr>
        <w:pStyle w:val="TextBody"/>
        <w:bidi w:val="0"/>
        <w:spacing w:before="120" w:after="283"/>
        <w:jc w:val="both"/>
        <w:rPr>
          <w:rFonts w:ascii="Times New Roman" w:hAnsi="Times New Roman"/>
          <w:sz w:val="20"/>
        </w:rPr>
      </w:pPr>
      <w:r>
        <w:rPr>
          <w:rFonts w:ascii="Times New Roman" w:hAnsi="Times New Roman"/>
          <w:color w:val="000000"/>
          <w:sz w:val="20"/>
        </w:rPr>
        <w:t>Our amended and restated certificate of incorporation require the affirmative vote of at least 66</w:t>
      </w:r>
      <w:r>
        <w:rPr>
          <w:rFonts w:ascii="Times New Roman" w:hAnsi="Times New Roman"/>
          <w:color w:val="000000"/>
          <w:sz w:val="13"/>
        </w:rPr>
        <w:t>2</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xml:space="preserve">% of the voting power of all shares of our common stock then outstanding in order to amend certain provisions, including those relating to our expected public benefit purpose, the removal of directors, the rights and privileges of the common stock,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indemnification, exclusive forum and the prohibition on stockholder action by written consent. Our amended and restated certificate of incorporation and amended and restated bylaws provide that the board of directors is expressly authorized to adopt, amend or repeal our bylaws and that our stockholders may amend our bylaws only with the approval of at least 66</w:t>
      </w:r>
      <w:r>
        <w:rPr>
          <w:rFonts w:ascii="Times New Roman" w:hAnsi="Times New Roman"/>
          <w:color w:val="000000"/>
          <w:sz w:val="13"/>
        </w:rPr>
        <w:t>2</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of the voting power of all shares of our common stock then outstanding.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Stockholder Action by Written Consent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DGCL permits any action required to be taken at any annual or special meeting of the stockholders to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Our amended and restated bylaws preclude stockholder action by written consent.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Authorized but Unissued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authorized but unissued shares of common stock and preferred stock are available for future issuance without your approval. The DGCL does not require stockholder approval for any issuance of authorized shares. However, the applicable stock exchange listing requirements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our company by means of a proxy contest, tender offer, merger or otherwise.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Registrar and Transfer Agent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registrar and transfer agent for all shares of common stock is Computershare Trust Company, N.A. </w:t>
      </w:r>
    </w:p>
    <w:p>
      <w:pPr>
        <w:pStyle w:val="TextBody"/>
        <w:bidi w:val="0"/>
        <w:spacing w:before="240" w:after="283"/>
        <w:jc w:val="center"/>
        <w:rPr>
          <w:rFonts w:ascii="Times New Roman" w:hAnsi="Times New Roman"/>
          <w:sz w:val="20"/>
        </w:rPr>
      </w:pPr>
      <w:bookmarkStart w:id="12" w:name="plan_of_distribution"/>
      <w:bookmarkEnd w:id="12"/>
      <w:r>
        <w:rPr>
          <w:rFonts w:ascii="Times New Roman" w:hAnsi="Times New Roman"/>
          <w:b/>
          <w:color w:val="000000"/>
          <w:sz w:val="22"/>
        </w:rPr>
        <w:t>PLAN OF</w:t>
      </w:r>
      <w:r>
        <w:rPr>
          <w:rFonts w:ascii="Times New Roman" w:hAnsi="Times New Roman"/>
          <w:color w:val="000000"/>
          <w:sz w:val="20"/>
        </w:rPr>
        <w:t xml:space="preserve"> </w:t>
      </w:r>
      <w:r>
        <w:rPr>
          <w:rFonts w:ascii="Times New Roman" w:hAnsi="Times New Roman"/>
          <w:b/>
          <w:color w:val="000000"/>
          <w:sz w:val="22"/>
        </w:rPr>
        <w:t>DISTRIBUTION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Our Plan of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sell our common stock from time to time pursuant to underwritten public offerings, negotiated transactions, block trades or a combination of these methods or through underwriters or dealers, through agents and/or directly to one or more purchasers.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time that we sell common stock covered by this prospectus, we will provide a prospectus supplement or supplements that will describe the method of distribution and set forth the terms and conditions of the offering of such securities, including the offering price of the common stock and the proceeds to us, if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Offers to purchase our common stock being offered by this prospectus may be solicited directly. Agents may also be designated to solicit offers to purchase our common stock from time to time. Any agent involved in the offer or sale of our common stock will be identified in a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dealer is utilized in the sale of the common stock being offered by this prospectus, the common stock will be sold to the dealer, as principal. The dealer may then resell the common stock to the public at varying prices to be determined by the dealer at the time of resale.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underwriter is utilized in the sale of the common stock being offered by this prospectus, an underwriting agreement will be executed with the underwriter at the time of sale and the name of any underwriter will be provided in the prospectus supplement that the underwriter will use to make resales of the common stock to the public. In connection with the sale of the common stock, we or the purchasers of common stock for whom the underwriter may act as agent, may compensate the underwriter in the form of underwriting discounts or commissions. The underwriter may sell the common stock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our common stock as a principal, and may then resell the common stock at varying prices to be determined by the dealer.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compensation paid to underwriters, dealers or agents in connection with the offering of our common stock, and any discounts, concessions or commissions allowed by underwriters to participating dealers will be provided in the applicable prospectus supplement. Underwriters, dealers and agents participating in the distribution of our common stock may be deemed to be “underwriters” within the meaning of Section 2(11) of the Securities Act. Any discounts, commissions, concessions or profit they earn on any resale of such common stock may be deemed to be underwriting discounts and commissions under the Securities Act.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common stock will be listed on the Nasdaq Global Market. To facilitate the offering of our common stock, certain persons participating in the offering may engage in transactions that stabilize, maintain or otherwise affect the price of our common stock. This may include over-allotments or short sales of our common stock, which involve the sale by persons participating in the offering of more shares of common stock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by bidding for or purchasing common stock in the open market or by imposing penalty bids, whereby selling concessions allowed to dealers participating in the offering may be reclaimed if common stock sold by them is repurchased in connection with stabilization transactions. The effect of these transactions may be to stabilize or maintain the market price of our common stock at a level above that which might otherwise prevail in the open market. These transactions may be discontinued at any time. </w:t>
      </w:r>
    </w:p>
    <w:p>
      <w:pPr>
        <w:pStyle w:val="TextBody"/>
        <w:bidi w:val="0"/>
        <w:jc w:val="left"/>
        <w:rPr>
          <w:rFonts w:ascii="Times New Roman" w:hAnsi="Times New Roman"/>
          <w:color w:val="000000"/>
          <w:sz w:val="20"/>
        </w:rPr>
      </w:pPr>
      <w:r>
        <w:rPr>
          <w:rFonts w:ascii="Times New Roman" w:hAnsi="Times New Roman"/>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common stock covered by this prospectus and the applicable prospectus supplement, including in short sale transactions. If so, the third party may use common stock pledged by us or borrowed from us or others to settle those sales or to close out any related open borrowings of common stock, and may use common stock received from us in settlement of those derivatives to close out any related open borrowings of common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our common stock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specific terms of any lock-up provisions in respect of any given offering will be described in the applicable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bookmarkStart w:id="13" w:name="legal_matters"/>
      <w:bookmarkEnd w:id="13"/>
      <w:r>
        <w:rPr>
          <w:rFonts w:ascii="Times New Roman" w:hAnsi="Times New Roman"/>
          <w:b/>
          <w:color w:val="000000"/>
          <w:sz w:val="22"/>
        </w:rPr>
        <w:t>LEGAL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validity of the issuance and sale of the common stock offered pursuant to this prospectus will be passed upon for us by Faegre Drinker Biddle &amp; Reath LLP. Additional legal matters may be passed upon for us or any underwriters, dealers or agents by counsel that we will name in the applicable prospectus supplement.</w:t>
      </w:r>
    </w:p>
    <w:p>
      <w:pPr>
        <w:pStyle w:val="TextBody"/>
        <w:bidi w:val="0"/>
        <w:spacing w:before="240" w:after="283"/>
        <w:jc w:val="center"/>
        <w:rPr>
          <w:rFonts w:ascii="Times New Roman" w:hAnsi="Times New Roman"/>
          <w:b/>
          <w:color w:val="000000"/>
          <w:sz w:val="22"/>
        </w:rPr>
      </w:pPr>
      <w:bookmarkStart w:id="14" w:name="experts"/>
      <w:bookmarkEnd w:id="14"/>
      <w:r>
        <w:rPr>
          <w:rFonts w:ascii="Times New Roman" w:hAnsi="Times New Roman"/>
          <w:b/>
          <w:color w:val="000000"/>
          <w:sz w:val="22"/>
        </w:rPr>
        <w:t>EXPERTS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consolidated financial statements of GEN Restaurant Group, Inc. as of December 31, 2025 and for the year ended December 31, 2025, incorporated in this Registration Statement by reference to the Annual Report on Form 10-K for the year ended December 31, 2025, have been so incorporated in reliance on the report of CBIZ CPAs P.C., an independent registered public accounting firm, given on the authority of said firm as experts in auditing and accounting.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GEN Restaurant Group, Inc. as of December 31, 2024 and for the year ended December 31, 2024, incorporated in this Registration Statement by reference to the Annual Report on Form 10-K for the year ended December 31, 2025, have been so incorporated in reliance on the report of Marcum LLP, an independent registered public accounting firm, given on the authority of said firm as experts in auditing and accounting.</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15" w:name="part_ii"/>
      <w:bookmarkEnd w:id="15"/>
      <w:r>
        <w:rPr>
          <w:rFonts w:ascii="Times New Roman" w:hAnsi="Times New Roman"/>
          <w:b/>
          <w:color w:val="000000"/>
          <w:sz w:val="22"/>
        </w:rPr>
        <w:t>PART II</w:t>
      </w:r>
    </w:p>
    <w:p>
      <w:pPr>
        <w:pStyle w:val="TextBody"/>
        <w:bidi w:val="0"/>
        <w:jc w:val="center"/>
        <w:rPr>
          <w:rFonts w:ascii="Times New Roman" w:hAnsi="Times New Roman"/>
          <w:b/>
          <w:color w:val="000000"/>
          <w:sz w:val="22"/>
        </w:rPr>
      </w:pPr>
      <w:bookmarkStart w:id="16" w:name="info_not_reqd"/>
      <w:bookmarkEnd w:id="16"/>
      <w:r>
        <w:rPr>
          <w:rFonts w:ascii="Times New Roman" w:hAnsi="Times New Roman"/>
          <w:b/>
          <w:color w:val="000000"/>
          <w:sz w:val="22"/>
        </w:rPr>
        <w:t>INFORMATION NOT REQUIRED IN PROSPECTUS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Item 14. </w:t>
      </w:r>
      <w:r>
        <w:rPr>
          <w:rFonts w:ascii="Times New Roman" w:hAnsi="Times New Roman"/>
          <w:b/>
          <w:i/>
          <w:color w:val="000000"/>
          <w:sz w:val="22"/>
        </w:rPr>
        <w:t>Other Expenses of Issuance and Distribution</w:t>
      </w:r>
      <w:r>
        <w:rPr>
          <w:rFonts w:ascii="Times New Roman" w:hAnsi="Times New Roman"/>
          <w:b/>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The following is an estimate of the expenses (all of which are to be paid by the registrant) that we may incur in connections with the securities being registered hereby. Each item listed is estimated, except for the SEC registration fee and Financial Industry Regulatory Authority, or FINRA, filing fee.</w:t>
      </w:r>
      <w:r>
        <w:rPr>
          <w:rFonts w:ascii="Times New Roman" w:hAnsi="Times New Roman"/>
          <w:color w:val="000000"/>
          <w:sz w:val="20"/>
        </w:rPr>
        <w:t xml:space="preserve"> </w:t>
      </w:r>
    </w:p>
    <w:p>
      <w:pPr>
        <w:pStyle w:val="TextBody"/>
        <w:bidi w:val="0"/>
        <w:jc w:val="both"/>
        <w:rPr/>
      </w:pPr>
      <w:r>
        <w:rPr/>
        <w:t> </w:t>
      </w:r>
    </w:p>
    <w:tbl>
      <w:tblPr>
        <w:tblW w:w="4736" w:type="dxa"/>
        <w:jc w:val="left"/>
        <w:tblInd w:w="0" w:type="dxa"/>
        <w:tblLayout w:type="fixed"/>
        <w:tblCellMar>
          <w:top w:w="28" w:type="dxa"/>
          <w:left w:w="28" w:type="dxa"/>
          <w:bottom w:w="28" w:type="dxa"/>
          <w:right w:w="28" w:type="dxa"/>
        </w:tblCellMar>
      </w:tblPr>
      <w:tblGrid>
        <w:gridCol w:w="3226"/>
        <w:gridCol w:w="146"/>
        <w:gridCol w:w="226"/>
        <w:gridCol w:w="146"/>
        <w:gridCol w:w="766"/>
        <w:gridCol w:w="22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FINRA filing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Legal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Accounting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Transfer agent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Miscellaneous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These fees are calculated based on the securities offered and the number of issuances and accordingly cannot be estimated at this time.</w:t>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Item 15. </w:t>
      </w:r>
      <w:r>
        <w:rPr>
          <w:rFonts w:ascii="Times New Roman" w:hAnsi="Times New Roman"/>
          <w:b/>
          <w:i/>
          <w:color w:val="000000"/>
          <w:sz w:val="22"/>
        </w:rPr>
        <w:t>Indemnification of Directors and Officers</w:t>
      </w:r>
      <w:r>
        <w:rPr>
          <w:rFonts w:ascii="Times New Roman" w:hAnsi="Times New Roman"/>
          <w:b/>
          <w:color w:val="000000"/>
          <w:sz w:val="22"/>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Section 102(b)(7) of the DGCL, provides that a Delaware corporation, in its certificate of incorporation, may limit the personal liability of a director or officer to the corporation or its stockholders for monetary damages for breach of fiduciary duties as a director or officer, except for liability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breach of the director’s or officer’s duty of loyalty to the corporation or its stockholders;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act or omission not in good faith or which involves intentional misconduct or a knowing violation of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director, for any unlawful payment of dividends or redemption of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transaction from which the director or officer derived an improper personal benefit;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an officer, in any action by or in the right of the corporation.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Section 145(a) of the DGCL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pStyle w:val="TextBody"/>
        <w:bidi w:val="0"/>
        <w:jc w:val="both"/>
        <w:rPr>
          <w:rFonts w:ascii="Times New Roman" w:hAnsi="Times New Roman"/>
          <w:sz w:val="20"/>
        </w:rPr>
      </w:pPr>
      <w:r>
        <w:rPr>
          <w:rFonts w:ascii="Times New Roman" w:hAnsi="Times New Roman"/>
          <w:color w:val="000000"/>
          <w:sz w:val="22"/>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 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pStyle w:val="TextBody"/>
        <w:bidi w:val="0"/>
        <w:jc w:val="both"/>
        <w:rPr>
          <w:rFonts w:ascii="Times New Roman" w:hAnsi="Times New Roman"/>
          <w:color w:val="000000"/>
          <w:sz w:val="22"/>
        </w:rPr>
      </w:pPr>
      <w:r>
        <w:rPr>
          <w:rFonts w:ascii="Times New Roman" w:hAnsi="Times New Roman"/>
          <w:color w:val="000000"/>
          <w:sz w:val="22"/>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pStyle w:val="TextBody"/>
        <w:bidi w:val="0"/>
        <w:jc w:val="both"/>
        <w:rPr>
          <w:rFonts w:ascii="Times New Roman" w:hAnsi="Times New Roman"/>
          <w:color w:val="000000"/>
          <w:sz w:val="22"/>
        </w:rPr>
      </w:pPr>
      <w:r>
        <w:rPr>
          <w:rFonts w:ascii="Times New Roman" w:hAnsi="Times New Roman"/>
          <w:color w:val="000000"/>
          <w:sz w:val="22"/>
        </w:rPr>
        <w:t>The Company’s amended and restated certificate of incorporation provides that, to the fullest extent permitted by the DGCL, no director or officer shall be personally liable to the Company or its stockholders for monetary damages for breach of fiduciary duty as a director or officer. The Company’s amended and restated bylaws provide that each person who was or is threatened to be made a party to, or was or is otherwise involved in, any threatened, pending or completed proceeding by reason of the fact that he or she is or was a director or officer of the Company or was serving at the request of the Company as a director, officer, employee, agent or trustee of another entity shall be indemnified and held harmless by us to the full extent authorized by the DGCL against all expense, liability and loss actually and reasonably incurred in connection therewith, subject to certain limitations.</w:t>
      </w:r>
    </w:p>
    <w:p>
      <w:pPr>
        <w:pStyle w:val="TextBody"/>
        <w:bidi w:val="0"/>
        <w:jc w:val="both"/>
        <w:rPr>
          <w:rFonts w:ascii="Times New Roman" w:hAnsi="Times New Roman"/>
          <w:color w:val="000000"/>
          <w:sz w:val="22"/>
        </w:rPr>
      </w:pPr>
      <w:r>
        <w:rPr>
          <w:rFonts w:ascii="Times New Roman" w:hAnsi="Times New Roman"/>
          <w:color w:val="000000"/>
          <w:sz w:val="22"/>
        </w:rPr>
        <w:t>The Company has entered into indemnification agreements with each of its executive officers and directors that provide, in general, that the Company will indemnify them to the fullest extent permitted by law in connection with their service to the Company or on its behalf. Further, the Company maintains directors’ and officers’ insurance to cover its directors, officers, and some of its employees for certain liabilities.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Item 16. </w:t>
      </w:r>
      <w:r>
        <w:rPr>
          <w:rFonts w:ascii="Times New Roman" w:hAnsi="Times New Roman"/>
          <w:b/>
          <w:i/>
          <w:color w:val="000000"/>
          <w:sz w:val="22"/>
        </w:rPr>
        <w:t>Exhibits</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Form of Underwriting Agreement</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Amended and Restated Certificate of Incorporation (incorporated by reference to the Company’s Form 8-K, Exhibit 3.1, filed July 6,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Amended and Restated Bylaws of GEN Restaurant Group Inc. (incorporated by reference to the Company’s Form 8-K, Exhibit 3.2, filed July 6,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Warrant to Purchase Class A Common Stock (incorporated by reference to the Company’s Form S-1, Amendment No. 1, Exhibit 4.1, filed June 14,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Amended and Restated Limited Liability Company Agreement (incorporated by reference to the Company’s Form S-1, Exhibit 10.1, filed May 26,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Registration Rights Agreement (incorporated by reference to the Company’s Form S-1, Exhibit 10.4, filed May 26,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genk-ex5_1.htm">
              <w:r>
                <w:rPr>
                  <w:rStyle w:val="InternetLink"/>
                  <w:rFonts w:ascii="Times New Roman" w:hAnsi="Times New Roman"/>
                  <w:color w:val="0000FF"/>
                  <w:sz w:val="20"/>
                  <w:u w:val="single"/>
                </w:rPr>
                <w:t>Opinion of Faegre Drinker Biddle &amp; Reath LLP</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genk-ex23_1.htm">
              <w:r>
                <w:rPr>
                  <w:rStyle w:val="InternetLink"/>
                  <w:rFonts w:ascii="Times New Roman" w:hAnsi="Times New Roman"/>
                  <w:color w:val="0000FF"/>
                  <w:sz w:val="20"/>
                  <w:u w:val="single"/>
                </w:rPr>
                <w:t>Consent of CBIZ CPAs P.C., independent registered public accounting firm</w:t>
              </w:r>
            </w:hyperlink>
            <w:hyperlink w:anchor="genk-ex23_1.htm">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genk-ex23_2.htm">
              <w:r>
                <w:rPr>
                  <w:rStyle w:val="InternetLink"/>
                  <w:rFonts w:ascii="Times New Roman" w:hAnsi="Times New Roman"/>
                  <w:color w:val="0000FF"/>
                  <w:sz w:val="20"/>
                  <w:u w:val="single"/>
                </w:rPr>
                <w:t>Consent of Marcum, LLP, independent registered public accounting firm</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genk-ex5_1.htm">
              <w:r>
                <w:rPr>
                  <w:rStyle w:val="InternetLink"/>
                  <w:rFonts w:ascii="Times New Roman" w:hAnsi="Times New Roman"/>
                  <w:color w:val="0000FF"/>
                  <w:sz w:val="20"/>
                  <w:u w:val="single"/>
                </w:rPr>
                <w:t>Consent of Faegre Drinker Biddle &amp; Reath LLP (included in Exhibit 5.1)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ower_of_attorney">
              <w:r>
                <w:rPr>
                  <w:rStyle w:val="InternetLink"/>
                  <w:rFonts w:ascii="Times New Roman" w:hAnsi="Times New Roman"/>
                  <w:color w:val="0000FF"/>
                  <w:sz w:val="20"/>
                  <w:u w:val="single"/>
                </w:rPr>
                <w:t>Power of Attorney (incorporated by reference to the signature page)</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genk_exfilingfees.htm">
              <w:r>
                <w:rPr>
                  <w:rStyle w:val="InternetLink"/>
                  <w:rFonts w:ascii="Times New Roman" w:hAnsi="Times New Roman"/>
                  <w:color w:val="0000FF"/>
                  <w:sz w:val="20"/>
                  <w:u w:val="single"/>
                </w:rPr>
                <w:t>Filing Fee Table</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applicable, to be filed by amendment or by a report filed under the Exchange Act and incorporated herein by reference.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Item 17. </w:t>
      </w:r>
      <w:r>
        <w:rPr>
          <w:rFonts w:ascii="Times New Roman" w:hAnsi="Times New Roman"/>
          <w:b/>
          <w:i/>
          <w:color w:val="000000"/>
          <w:sz w:val="22"/>
        </w:rPr>
        <w:t>Undertakings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The undersigned registrant hereby undertakes: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To file, during any period in which offers or sales are being made, a post-effective amendment to this registration statement: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To include any prospectus required by Section 10(a)(3) of the Securities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however, </w:t>
      </w:r>
      <w:r>
        <w:rPr>
          <w:rFonts w:ascii="Times New Roman" w:hAnsi="Times New Roman"/>
          <w:color w:val="000000"/>
          <w:sz w:val="22"/>
        </w:rPr>
        <w:t>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2"/>
        </w:rPr>
        <w:t xml:space="preserve">bona fide </w:t>
      </w:r>
      <w:r>
        <w:rPr>
          <w:rFonts w:ascii="Times New Roman" w:hAnsi="Times New Roman"/>
          <w:color w:val="000000"/>
          <w:sz w:val="22"/>
        </w:rPr>
        <w:t>offering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To remove from registration by means of a post-effective amendment any of the securities being registered which remain unsold at the termination of the offering.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 That, for the purpose of determining liability under the Securities Act to any purchaser: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color w:val="000000"/>
          <w:sz w:val="22"/>
        </w:rPr>
        <w:t>bona fide</w:t>
      </w:r>
      <w:r>
        <w:rPr>
          <w:rFonts w:ascii="Times New Roman" w:hAnsi="Times New Roman"/>
          <w:color w:val="000000"/>
          <w:sz w:val="20"/>
        </w:rPr>
        <w:t xml:space="preserve"> </w:t>
      </w:r>
      <w:r>
        <w:rPr>
          <w:rFonts w:ascii="Times New Roman" w:hAnsi="Times New Roman"/>
          <w:color w:val="000000"/>
          <w:sz w:val="22"/>
        </w:rPr>
        <w:t xml:space="preserve">offering thereof. </w:t>
      </w:r>
      <w:r>
        <w:rPr>
          <w:rFonts w:ascii="Times New Roman" w:hAnsi="Times New Roman"/>
          <w:i/>
          <w:color w:val="000000"/>
          <w:sz w:val="22"/>
        </w:rPr>
        <w:t>Provided, however</w:t>
      </w:r>
      <w:r>
        <w:rPr>
          <w:rFonts w:ascii="Times New Roman" w:hAnsi="Times New Roman"/>
          <w:color w:val="000000"/>
          <w:sz w:val="22"/>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 That, for the purpose of determining the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 Any preliminary prospectus or prospectus of the undersigned registrant relating to the offering required to be filed pursuant to Rule 424;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 Any free writing prospectus relating to the offering prepared by or on behalf of the undersigned registrant or used or referred to by the undersigned registrant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(iv) Any other communication that is an offer in the offering made by the undersigned registrant to the purchaser.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jc w:val="both"/>
        <w:rPr>
          <w:rFonts w:ascii="Times New Roman" w:hAnsi="Times New Roman"/>
          <w:sz w:val="20"/>
        </w:rPr>
      </w:pPr>
      <w:r>
        <w:rPr>
          <w:rFonts w:ascii="Times New Roman" w:hAnsi="Times New Roman"/>
          <w:color w:val="000000"/>
          <w:sz w:val="22"/>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Cerritos, State of California, on the 19</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May, 2026.</w:t>
      </w:r>
    </w:p>
    <w:p>
      <w:pPr>
        <w:pStyle w:val="TextBody"/>
        <w:bidi w:val="0"/>
        <w:jc w:val="both"/>
        <w:rPr/>
      </w:pPr>
      <w:r>
        <w:rPr/>
        <w:t> </w:t>
      </w:r>
    </w:p>
    <w:tbl>
      <w:tblPr>
        <w:tblW w:w="3570" w:type="dxa"/>
        <w:jc w:val="left"/>
        <w:tblInd w:w="0" w:type="dxa"/>
        <w:tblLayout w:type="fixed"/>
        <w:tblCellMar>
          <w:top w:w="28" w:type="dxa"/>
          <w:left w:w="28" w:type="dxa"/>
          <w:bottom w:w="28" w:type="dxa"/>
          <w:right w:w="28" w:type="dxa"/>
        </w:tblCellMar>
      </w:tblPr>
      <w:tblGrid>
        <w:gridCol w:w="845"/>
        <w:gridCol w:w="2725"/>
      </w:tblGrid>
      <w:tr>
        <w:trPr/>
        <w:tc>
          <w:tcPr>
            <w:tcW w:w="84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35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GEN RESTAURANT GROUP, INC.</w:t>
            </w:r>
          </w:p>
        </w:tc>
      </w:tr>
      <w:tr>
        <w:trPr/>
        <w:tc>
          <w:tcPr>
            <w:tcW w:w="845" w:type="dxa"/>
            <w:tcBorders/>
            <w:tcMar>
              <w:top w:w="0" w:type="dxa"/>
              <w:left w:w="0" w:type="dxa"/>
              <w:bottom w:w="0" w:type="dxa"/>
              <w:right w:w="0" w:type="dxa"/>
            </w:tcMar>
            <w:vAlign w:val="center"/>
          </w:tcPr>
          <w:p>
            <w:pPr>
              <w:pStyle w:val="TableContents"/>
              <w:bidi w:val="0"/>
              <w:spacing w:before="0" w:after="283"/>
              <w:jc w:val="left"/>
              <w:rPr/>
            </w:pPr>
            <w:r>
              <w:rPr/>
              <w:t> </w:t>
            </w:r>
          </w:p>
        </w:tc>
        <w:tc>
          <w:tcPr>
            <w:tcW w:w="27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72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David Kim</w:t>
            </w:r>
          </w:p>
        </w:tc>
      </w:tr>
      <w:tr>
        <w:trPr/>
        <w:tc>
          <w:tcPr>
            <w:tcW w:w="8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David Kim</w:t>
            </w:r>
          </w:p>
        </w:tc>
      </w:tr>
      <w:tr>
        <w:trPr/>
        <w:tc>
          <w:tcPr>
            <w:tcW w:w="8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r>
        <w:trPr/>
        <w:tc>
          <w:tcPr>
            <w:tcW w:w="845" w:type="dxa"/>
            <w:tcBorders/>
            <w:tcMar>
              <w:top w:w="0" w:type="dxa"/>
              <w:left w:w="0" w:type="dxa"/>
              <w:bottom w:w="0" w:type="dxa"/>
              <w:right w:w="0" w:type="dxa"/>
            </w:tcMar>
            <w:vAlign w:val="center"/>
          </w:tcPr>
          <w:p>
            <w:pPr>
              <w:pStyle w:val="TableContents"/>
              <w:bidi w:val="0"/>
              <w:spacing w:before="0" w:after="283"/>
              <w:jc w:val="left"/>
              <w:rPr/>
            </w:pPr>
            <w:r>
              <w:rPr/>
              <w:t> </w:t>
            </w:r>
          </w:p>
        </w:tc>
        <w:tc>
          <w:tcPr>
            <w:tcW w:w="27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left"/>
              <w:rPr/>
            </w:pPr>
            <w:r>
              <w:rPr/>
              <w:t> </w:t>
            </w:r>
          </w:p>
        </w:tc>
        <w:tc>
          <w:tcPr>
            <w:tcW w:w="272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17" w:name="power_of_attorney"/>
      <w:bookmarkEnd w:id="17"/>
      <w:r>
        <w:rPr>
          <w:rFonts w:ascii="Times New Roman" w:hAnsi="Times New Roman"/>
          <w:b/>
          <w:color w:val="000000"/>
          <w:sz w:val="22"/>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hereby severally constitutes and appoints each of David Kim and Thomas V. Croal with full power of substitution and resubstitution, his or her true and lawful attorney-in fact and agent, with full powers to sign for us, in our names and in the capacities indicated below, the registration statement on Form S-3 and to file the same, with all exhibits thereto, and other documents in connection therewith, with the SEC, and any and all amendments to said registration statement (including post-effective amendments), granting unto said attorney-in-fact full power and authority to do and perform each and every act and thing requisite and necessary to be done in connection therewith, as fully to all intents and purposes as each of them might or could do in person, and hereby ratifying and confirming all that said attorney-in-fact or his substitute may lawfully do or cause to be done by virtue of this power of attorney. This power of attorney may be executed in counterparts and all capacities to sign any and all amendments.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dates indicated.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94"/>
        <w:gridCol w:w="146"/>
        <w:gridCol w:w="6374"/>
        <w:gridCol w:w="146"/>
        <w:gridCol w:w="1445"/>
      </w:tblGrid>
      <w:tr>
        <w:trPr/>
        <w:tc>
          <w:tcPr>
            <w:tcW w:w="209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r>
      <w:tr>
        <w:trPr/>
        <w:tc>
          <w:tcPr>
            <w:tcW w:w="2094"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2"/>
              </w:rPr>
            </w:pPr>
            <w:r>
              <w:rPr>
                <w:rFonts w:ascii="Times New Roman" w:hAnsi="Times New Roman"/>
                <w:b/>
                <w:color w:val="000000"/>
                <w:sz w:val="22"/>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74"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2"/>
              </w:rPr>
            </w:pPr>
            <w:r>
              <w:rPr>
                <w:rFonts w:ascii="Times New Roman" w:hAnsi="Times New Roman"/>
                <w:b/>
                <w:color w:val="000000"/>
                <w:sz w:val="22"/>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5"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2"/>
              </w:rPr>
            </w:pPr>
            <w:r>
              <w:rPr>
                <w:rFonts w:ascii="Times New Roman" w:hAnsi="Times New Roman"/>
                <w:b/>
                <w:color w:val="000000"/>
                <w:sz w:val="22"/>
              </w:rPr>
              <w:t>Date</w:t>
            </w:r>
          </w:p>
        </w:tc>
      </w:tr>
      <w:tr>
        <w:trPr/>
        <w:tc>
          <w:tcPr>
            <w:tcW w:w="2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tcMar>
              <w:top w:w="0" w:type="dxa"/>
              <w:left w:w="0" w:type="dxa"/>
              <w:bottom w:w="0" w:type="dxa"/>
              <w:right w:w="0" w:type="dxa"/>
            </w:tcMar>
            <w:vAlign w:val="center"/>
          </w:tcPr>
          <w:p>
            <w:pPr>
              <w:pStyle w:val="TableContents"/>
              <w:pBdr>
                <w:bottom w:val="single" w:sz="6" w:space="1" w:color="000000"/>
              </w:pBdr>
              <w:bidi w:val="0"/>
              <w:jc w:val="left"/>
              <w:rPr>
                <w:rFonts w:ascii="Times New Roman" w:hAnsi="Times New Roman"/>
                <w:color w:val="000000"/>
                <w:sz w:val="22"/>
              </w:rPr>
            </w:pPr>
            <w:r>
              <w:rPr>
                <w:rFonts w:ascii="Times New Roman" w:hAnsi="Times New Roman"/>
                <w:color w:val="000000"/>
                <w:sz w:val="22"/>
              </w:rPr>
              <w:t>/s/ David Kim</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David Kim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 (Principal Executive Officer)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19, 2026</w:t>
            </w:r>
          </w:p>
        </w:tc>
      </w:tr>
      <w:tr>
        <w:trPr/>
        <w:tc>
          <w:tcPr>
            <w:tcW w:w="2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tcMar>
              <w:top w:w="0" w:type="dxa"/>
              <w:left w:w="0" w:type="dxa"/>
              <w:bottom w:w="0" w:type="dxa"/>
              <w:right w:w="0" w:type="dxa"/>
            </w:tcMar>
            <w:vAlign w:val="center"/>
          </w:tcPr>
          <w:p>
            <w:pPr>
              <w:pStyle w:val="TableContents"/>
              <w:pBdr>
                <w:bottom w:val="single" w:sz="6" w:space="1" w:color="000000"/>
              </w:pBdr>
              <w:bidi w:val="0"/>
              <w:jc w:val="left"/>
              <w:rPr>
                <w:rFonts w:ascii="Times New Roman" w:hAnsi="Times New Roman"/>
                <w:color w:val="000000"/>
                <w:sz w:val="22"/>
              </w:rPr>
            </w:pPr>
            <w:r>
              <w:rPr>
                <w:rFonts w:ascii="Times New Roman" w:hAnsi="Times New Roman"/>
                <w:color w:val="000000"/>
                <w:sz w:val="22"/>
              </w:rPr>
              <w:t>/s/ Thomas V. Croal</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V. Croal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Financial Officer (Principal Financial and Accounting Officer)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19, 2026</w:t>
            </w:r>
          </w:p>
        </w:tc>
      </w:tr>
      <w:tr>
        <w:trPr/>
        <w:tc>
          <w:tcPr>
            <w:tcW w:w="2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Jae Chang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19, 2026</w:t>
            </w:r>
          </w:p>
        </w:tc>
      </w:tr>
      <w:tr>
        <w:trPr/>
        <w:tc>
          <w:tcPr>
            <w:tcW w:w="20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Jae Chang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tcMar>
              <w:top w:w="0" w:type="dxa"/>
              <w:left w:w="0" w:type="dxa"/>
              <w:bottom w:w="0" w:type="dxa"/>
              <w:right w:w="0" w:type="dxa"/>
            </w:tcMar>
            <w:vAlign w:val="center"/>
          </w:tcPr>
          <w:p>
            <w:pPr>
              <w:pStyle w:val="TableContents"/>
              <w:pBdr>
                <w:bottom w:val="single" w:sz="6" w:space="1" w:color="000000"/>
              </w:pBdr>
              <w:bidi w:val="0"/>
              <w:jc w:val="left"/>
              <w:rPr>
                <w:rFonts w:ascii="Times New Roman" w:hAnsi="Times New Roman"/>
                <w:color w:val="000000"/>
                <w:sz w:val="22"/>
              </w:rPr>
            </w:pPr>
            <w:r>
              <w:rPr>
                <w:rFonts w:ascii="Times New Roman" w:hAnsi="Times New Roman"/>
                <w:color w:val="000000"/>
                <w:sz w:val="22"/>
              </w:rPr>
              <w:t>/s/ Michael B. Cowan</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Michael B. Cowan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19, 2026</w:t>
            </w:r>
          </w:p>
        </w:tc>
      </w:tr>
      <w:tr>
        <w:trPr/>
        <w:tc>
          <w:tcPr>
            <w:tcW w:w="2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tcMar>
              <w:top w:w="0" w:type="dxa"/>
              <w:left w:w="0" w:type="dxa"/>
              <w:bottom w:w="0" w:type="dxa"/>
              <w:right w:w="0" w:type="dxa"/>
            </w:tcMar>
            <w:vAlign w:val="center"/>
          </w:tcPr>
          <w:p>
            <w:pPr>
              <w:pStyle w:val="TableContents"/>
              <w:pBdr>
                <w:bottom w:val="single" w:sz="6" w:space="1" w:color="000000"/>
              </w:pBdr>
              <w:bidi w:val="0"/>
              <w:jc w:val="left"/>
              <w:rPr>
                <w:rFonts w:ascii="Times New Roman" w:hAnsi="Times New Roman"/>
                <w:color w:val="000000"/>
                <w:sz w:val="22"/>
              </w:rPr>
            </w:pPr>
            <w:r>
              <w:rPr>
                <w:rFonts w:ascii="Times New Roman" w:hAnsi="Times New Roman"/>
                <w:color w:val="000000"/>
                <w:sz w:val="22"/>
              </w:rPr>
              <w:t>/s/ Jonathan Gregory</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Jonathan Gregory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19, 2026</w:t>
            </w:r>
          </w:p>
        </w:tc>
      </w:tr>
      <w:tr>
        <w:trPr/>
        <w:tc>
          <w:tcPr>
            <w:tcW w:w="2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94"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David H. Park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19, 2026</w:t>
            </w:r>
          </w:p>
        </w:tc>
      </w:tr>
      <w:tr>
        <w:trPr/>
        <w:tc>
          <w:tcPr>
            <w:tcW w:w="20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David H. Park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2"/>
        </w:rPr>
      </w:pPr>
      <w:bookmarkStart w:id="18" w:name="genk-ex5_1.htm"/>
      <w:bookmarkStart w:id="19" w:name="ksgenkex5_1"/>
      <w:bookmarkEnd w:id="18"/>
      <w:bookmarkEnd w:id="19"/>
      <w:r>
        <w:rPr>
          <w:rFonts w:ascii="Times New Roman" w:hAnsi="Times New Roman"/>
          <w:b/>
          <w:color w:val="000000"/>
          <w:sz w:val="22"/>
        </w:rPr>
        <w:t>Exhibit 5.1</w:t>
      </w:r>
      <w:r>
        <w:br w:type="page"/>
      </w:r>
    </w:p>
    <w:p>
      <w:pPr>
        <w:pStyle w:val="TextBody"/>
        <w:bidi w:val="0"/>
        <w:spacing w:before="180" w:after="283"/>
        <w:jc w:val="center"/>
        <w:rPr/>
      </w:pPr>
      <w:r>
        <w:rPr/>
        <w:t> </w:t>
      </w:r>
    </w:p>
    <w:tbl>
      <w:tblPr>
        <w:tblW w:w="3526" w:type="dxa"/>
        <w:jc w:val="left"/>
        <w:tblInd w:w="0" w:type="dxa"/>
        <w:tblLayout w:type="fixed"/>
        <w:tblCellMar>
          <w:top w:w="28" w:type="dxa"/>
          <w:left w:w="28" w:type="dxa"/>
          <w:bottom w:w="28" w:type="dxa"/>
          <w:right w:w="28" w:type="dxa"/>
        </w:tblCellMar>
      </w:tblPr>
      <w:tblGrid>
        <w:gridCol w:w="161"/>
        <w:gridCol w:w="109"/>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Faegre Drinker Biddle &amp; Reath LLP</w:t>
            </w:r>
          </w:p>
          <w:p>
            <w:pPr>
              <w:pStyle w:val="TableContents"/>
              <w:bidi w:val="0"/>
              <w:jc w:val="left"/>
              <w:rPr>
                <w:rFonts w:ascii="Times New Roman" w:hAnsi="Times New Roman"/>
                <w:color w:val="000000"/>
                <w:sz w:val="16"/>
              </w:rPr>
            </w:pPr>
            <w:r>
              <w:rPr>
                <w:rFonts w:ascii="Times New Roman" w:hAnsi="Times New Roman"/>
                <w:color w:val="000000"/>
                <w:sz w:val="16"/>
              </w:rPr>
              <w:t>2200 Wells Fargo Center</w:t>
              <w:br/>
              <w:t>90 S. Seventh Street</w:t>
              <w:br/>
              <w:t>Minneapolis, Minnesota 55402</w:t>
            </w:r>
          </w:p>
          <w:p>
            <w:pPr>
              <w:pStyle w:val="TableContents"/>
              <w:bidi w:val="0"/>
              <w:jc w:val="left"/>
              <w:rPr>
                <w:rFonts w:ascii="Times New Roman" w:hAnsi="Times New Roman"/>
                <w:color w:val="000000"/>
                <w:sz w:val="16"/>
              </w:rPr>
            </w:pPr>
            <w:r>
              <w:rPr>
                <w:rFonts w:ascii="Times New Roman" w:hAnsi="Times New Roman"/>
                <w:color w:val="000000"/>
                <w:sz w:val="16"/>
              </w:rPr>
              <w:t>+1 612 766 7000 main</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+1 612 766 1600 fax</w:t>
            </w:r>
          </w:p>
        </w:tc>
      </w:tr>
    </w:tbl>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May 19,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 Restaurant Group, Inc.</w:t>
      </w:r>
    </w:p>
    <w:p>
      <w:pPr>
        <w:pStyle w:val="TextBody"/>
        <w:bidi w:val="0"/>
        <w:jc w:val="left"/>
        <w:rPr>
          <w:rFonts w:ascii="Times New Roman" w:hAnsi="Times New Roman"/>
          <w:color w:val="000000"/>
          <w:sz w:val="20"/>
        </w:rPr>
      </w:pPr>
      <w:r>
        <w:rPr>
          <w:rFonts w:ascii="Times New Roman" w:hAnsi="Times New Roman"/>
          <w:color w:val="000000"/>
          <w:sz w:val="20"/>
        </w:rPr>
        <w:t>11480 South Street, Suite 205</w:t>
      </w:r>
    </w:p>
    <w:p>
      <w:pPr>
        <w:pStyle w:val="TextBody"/>
        <w:bidi w:val="0"/>
        <w:jc w:val="left"/>
        <w:rPr>
          <w:rFonts w:ascii="Times New Roman" w:hAnsi="Times New Roman"/>
          <w:color w:val="000000"/>
          <w:sz w:val="20"/>
        </w:rPr>
      </w:pPr>
      <w:r>
        <w:rPr>
          <w:rFonts w:ascii="Times New Roman" w:hAnsi="Times New Roman"/>
          <w:color w:val="000000"/>
          <w:sz w:val="20"/>
        </w:rPr>
        <w:t>Cerritos, California 90703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acted as counsel to GEN Restaurant Group, Inc., a Delaware corporation (the “Company”), in connection with the Registration Statement on Form S-3 (the “Registration Statement”) being filed by the Company with the U.S. Securities and Exchange Commission (the “Commission”) on the date hereof under the Securities Act of 1933, as amended (the “Securities Act”).</w:t>
      </w:r>
    </w:p>
    <w:p>
      <w:pPr>
        <w:pStyle w:val="TextBody"/>
        <w:bidi w:val="0"/>
        <w:spacing w:before="180" w:after="283"/>
        <w:jc w:val="left"/>
        <w:rPr>
          <w:rFonts w:ascii="Times New Roman" w:hAnsi="Times New Roman"/>
          <w:sz w:val="20"/>
        </w:rPr>
      </w:pPr>
      <w:r>
        <w:rPr>
          <w:rFonts w:ascii="Times New Roman" w:hAnsi="Times New Roman"/>
          <w:color w:val="000000"/>
          <w:sz w:val="20"/>
        </w:rPr>
        <w:t>The Registration Statement relates to the issuance and sale from time to time by the Company, pursuant to Rule 415 of the Securities Act, of up to $50,000,000</w:t>
      </w:r>
      <w:r>
        <w:rPr>
          <w:rFonts w:ascii="Times New Roman" w:hAnsi="Times New Roman"/>
          <w:color w:val="0000FF"/>
          <w:sz w:val="20"/>
        </w:rPr>
        <w:t xml:space="preserve"> </w:t>
      </w:r>
      <w:r>
        <w:rPr>
          <w:rFonts w:ascii="Times New Roman" w:hAnsi="Times New Roman"/>
          <w:color w:val="000000"/>
          <w:sz w:val="20"/>
        </w:rPr>
        <w:t>of shares of Class A common stock of the Company, $0.001par value per share (the “Common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Common Stock may be offered in amounts, at prices and on terms to be set forth in the prospectus and one or more supplements thereto constituting a part of the Registration Statement. Any Common Stock are to be issued under the Amended and Restated Certificate of Incorporation of the Company, as amended from time to time (the “Certificate of Incorporation”).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This opinion letter is being delivered in accordance with the requirements of Item 601(b)(5) of Regulation S-K.</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For purposes of this opinion letter, we have reviewed originals, or copies certified or otherwise authenticated to our satisfaction, of (i) the Certificate of Incorporation and the Amended and Restated Bylaws of the Company (the “Bylaws”), each as amended to the date hereof, (ii) the Registration Statement and (iii) the proceedings taken by the Company in connection with the authorization of the Common Stock. </w:t>
      </w:r>
      <w:r>
        <w:rPr>
          <w:rFonts w:ascii="Times New Roman" w:hAnsi="Times New Roman"/>
          <w:color w:val="010101"/>
          <w:sz w:val="20"/>
        </w:rPr>
        <w:t xml:space="preserve">We have also examined a certificate of the Secretary of the Company dated the date hereof (the “Certificate”) and originals, or copies certified or otherwise authenticated to our satisfaction, of such corporate and other records, agreements,instruments, certificates of public officials and representatives of the Company and other documents as we have deemed necessary as a basis for the opinions hereinafter expressed. </w:t>
      </w:r>
    </w:p>
    <w:p>
      <w:pPr>
        <w:pStyle w:val="TextBody"/>
        <w:bidi w:val="0"/>
        <w:spacing w:before="180" w:after="283"/>
        <w:jc w:val="both"/>
        <w:rPr>
          <w:rFonts w:ascii="Times New Roman" w:hAnsi="Times New Roman"/>
          <w:sz w:val="20"/>
        </w:rPr>
      </w:pPr>
      <w:r>
        <w:rPr>
          <w:rFonts w:ascii="Times New Roman" w:hAnsi="Times New Roman"/>
          <w:color w:val="010101"/>
          <w:sz w:val="20"/>
        </w:rPr>
        <w:t xml:space="preserve">As to facts material to this opinion letter, we have relied upon certificates, statements or representations of public officials, officers and representatives of the Company (including the Certificate) and others as to the accuracy of such factual matters, in each case, without any independent verification thereof or other investigation. </w:t>
      </w:r>
      <w:r>
        <w:rPr>
          <w:rFonts w:ascii="Times New Roman" w:hAnsi="Times New Roman"/>
          <w:color w:val="000000"/>
          <w:sz w:val="20"/>
        </w:rPr>
        <w:t>We have assumed, without investigation, the following: (a) the genuineness of all signatures, including electronic signatures, appearing upon the certifications, documents and proceedings submitted to us for review, (b) that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 the transactions contemplated thereby, (d) the truth, accuracy and completeness of the information,representations and warranties contained in the agreements, documents, instruments, certificates and records we have reviewed and (e) the absence of any undisclosed modifications to the agreements and instruments reviewed by 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Based upon and subject to the foregoing and to the other assumptions, qualifications and limitations set forth herein, we are of the opinion that, with respect to the shares of Common Stock to be issued and sold pursuant to the Registration Statement (the “Shares”), when (i) a prospectus supplement and any other offering material with respect to the Shares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issuance of the Shares, (iv) the Shares have been issued by the Company against payment of the agreed-upon consideration therefor in accordance with any relevant agreements and such corporate action, and (v) certificates representing the Shares have been duly executed by the duly authorized officers of the Company, countersigned by the transfer agent therefor and delivered to the purchasers thereof or other persons entitled thereto (or in the case of any shares of Common Stock issued without certificates, the due registration of issuance and constructive delivery through book entry of such Shares), then, upon the happening of such events,such Shares will be validly issued, fully paid and non-assessable.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opinion assumes that (a) the Registration Statement and any amendments relating there to shall have become effective under the Securities Act and will continue to be effective, (b) the Company will remain duly organized, validly existing and in good standing under the laws of the State of Delaware, (c) at the time any shares of Common Stock are authorized, issued or delivered, (1) there will not have occurred any change in the law or in the Certificate of Incorporation or Bylaws affecting the authorization, issuance, delivery or validity of such Common Stock, and (2) no relevant corporate actions will have been modified or rescinded, (d) the Common Stock will be issued in accordance with, and in compliance with any limitations on issuance contained in, the corporate action related thereto, (e) the Common Stock will be issued within the limits of the then remaining authorized but unreserved and unissued amounts of such Common Stock under the Certificate of Incorporation, (f) all certificates evidencing any Shares will be in the form required by law and approved for issuance by the Company, (g) the Company will comply with all applicable notice requirements regarding uncertificated Shares provided in the General Corporation Law of the State of Delaware and (h) future issuances of Common Stock will be made in accordance with the parameters established by the Board of Directors or a Pricing Committee thereof, as such parameters may be established from time to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opinions set forth herein are limited to the General Corporation Law of the State of Delaware, and we express no opinion as to the effect of any other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opinion letter is rendered as of the date first written above, and we assume no responsibility for updating this opinion letter or the opinions set forth herein to take into account any event, action, interpretation or change in law or facts occurring subsequent to the date hereof that may affect the validity of such opinions. This opinion letter is expressly limited to the matters set forth above, and we render no opinion, whether by implication or otherwise, as to any other matters relating to the Company, the Common Stock or the Certificate of Incorporation.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hereby consent to the filing of this opinion letter as an exhibit to the Registration Statement and to being named in the Registration Statement under the caption “Legal Matters” with respect to the matters stated therein without implying or admitting that we are “experts” within the meaning of the Securities Act or the rules and regulations of the Commission issued thereunder with respect to any part of the Registration Statement, including this exhibit.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Very truly yours,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 Faegre Drinker Biddle &amp; Reath LLP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FAEGRE DRINKER BIDDLE &amp; REATH LLP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0" w:name="genk-ex23_1.htm"/>
      <w:bookmarkStart w:id="21" w:name="ksgenkex23_1"/>
      <w:bookmarkEnd w:id="20"/>
      <w:bookmarkEnd w:id="21"/>
      <w:r>
        <w:rPr>
          <w:rFonts w:ascii="Times New Roman" w:hAnsi="Times New Roman"/>
          <w:color w:val="000000"/>
          <w:sz w:val="20"/>
        </w:rPr>
        <w:t>Exhibit 23.1</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INDEPENDENT REGISTERED PUBLIC ACCOUNTING FIRM’S CONSENT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We consent to the incorporation by reference in this Registration Statement on Form S-3 of our report dated March 31, 2026 relating to the financial statements appearing in the Annual Report on Form 10-K of GEN Restaurant Group, Inc. for the year ended December 31, 2025. We also consent to the reference to us under the heading “Experts” in such Registration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 CBIZ CPAs P.C.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Costa Mesa, California</w:t>
      </w:r>
    </w:p>
    <w:p>
      <w:pPr>
        <w:pStyle w:val="TextBody"/>
        <w:bidi w:val="0"/>
        <w:jc w:val="left"/>
        <w:rPr>
          <w:rFonts w:ascii="Times New Roman" w:hAnsi="Times New Roman"/>
          <w:sz w:val="20"/>
        </w:rPr>
      </w:pPr>
      <w:r>
        <w:rPr>
          <w:rFonts w:ascii="Times New Roman" w:hAnsi="Times New Roman"/>
          <w:color w:val="000000"/>
          <w:sz w:val="24"/>
        </w:rPr>
        <w:t>May 19,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2" w:name="genk-ex23_2.htm"/>
      <w:bookmarkStart w:id="23" w:name="ksgenkex23_2"/>
      <w:bookmarkEnd w:id="22"/>
      <w:bookmarkEnd w:id="23"/>
      <w:r>
        <w:rPr>
          <w:rFonts w:ascii="Times New Roman" w:hAnsi="Times New Roman"/>
          <w:color w:val="000000"/>
          <w:sz w:val="22"/>
        </w:rPr>
        <w:t>Exhibit 23.2</w:t>
      </w:r>
      <w:r>
        <w:br w:type="page"/>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INDEPENDENT REGISTERED PUBLIC ACCOUNTING FIRM’S CONSENT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We consent to the incorporation by reference in this Registration Statement on Form S-3 of our report dated March 7, 2025 relating to the financial statements appearing in the Annual Report on Form 10-K of GEN Restaurant Group, Inc. for the year ended December 31, 2025. We also consent to the reference to us under the heading “Experts” in such Registration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Marcum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Costa Mesa, California</w:t>
      </w:r>
    </w:p>
    <w:p>
      <w:pPr>
        <w:pStyle w:val="TextBody"/>
        <w:bidi w:val="0"/>
        <w:jc w:val="left"/>
        <w:rPr>
          <w:rFonts w:ascii="Times New Roman" w:hAnsi="Times New Roman"/>
          <w:sz w:val="20"/>
        </w:rPr>
      </w:pPr>
      <w:r>
        <w:rPr>
          <w:rFonts w:ascii="Times New Roman" w:hAnsi="Times New Roman"/>
          <w:color w:val="000000"/>
          <w:sz w:val="24"/>
        </w:rPr>
        <w:t>May 19,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2"/>
        </w:rPr>
      </w:pPr>
      <w:bookmarkStart w:id="24" w:name="genk_exfilingfees.htm"/>
      <w:bookmarkStart w:id="25" w:name="ksgenk_exfilingfees"/>
      <w:bookmarkEnd w:id="24"/>
      <w:bookmarkEnd w:id="25"/>
      <w:r>
        <w:rPr>
          <w:rFonts w:ascii="Times New Roman" w:hAnsi="Times New Roman"/>
          <w:b/>
          <w:caps/>
          <w:color w:val="000000"/>
          <w:sz w:val="22"/>
        </w:rPr>
        <w:t>Exhibit 107</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S-3</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GEN RESTAURANT GROUP,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Table 1: Newly Registered and Carry Forward Securities</w:t>
      </w:r>
    </w:p>
    <w:p>
      <w:pPr>
        <w:pStyle w:val="TextBody"/>
        <w:bidi w:val="0"/>
        <w:jc w:val="center"/>
        <w:rPr/>
      </w:pPr>
      <w:r>
        <w:rPr/>
        <w:t> </w:t>
      </w:r>
    </w:p>
    <w:tbl>
      <w:tblPr>
        <w:tblW w:w="11981" w:type="dxa"/>
        <w:jc w:val="left"/>
        <w:tblInd w:w="0" w:type="dxa"/>
        <w:tblLayout w:type="fixed"/>
        <w:tblCellMar>
          <w:top w:w="28" w:type="dxa"/>
          <w:left w:w="28" w:type="dxa"/>
          <w:bottom w:w="28" w:type="dxa"/>
          <w:right w:w="28" w:type="dxa"/>
        </w:tblCellMar>
      </w:tblPr>
      <w:tblGrid>
        <w:gridCol w:w="421"/>
        <w:gridCol w:w="146"/>
        <w:gridCol w:w="601"/>
        <w:gridCol w:w="146"/>
        <w:gridCol w:w="751"/>
        <w:gridCol w:w="146"/>
        <w:gridCol w:w="811"/>
        <w:gridCol w:w="146"/>
        <w:gridCol w:w="766"/>
        <w:gridCol w:w="146"/>
        <w:gridCol w:w="706"/>
        <w:gridCol w:w="146"/>
        <w:gridCol w:w="196"/>
        <w:gridCol w:w="916"/>
        <w:gridCol w:w="146"/>
        <w:gridCol w:w="146"/>
        <w:gridCol w:w="146"/>
        <w:gridCol w:w="871"/>
        <w:gridCol w:w="146"/>
        <w:gridCol w:w="146"/>
        <w:gridCol w:w="196"/>
        <w:gridCol w:w="736"/>
        <w:gridCol w:w="146"/>
        <w:gridCol w:w="146"/>
        <w:gridCol w:w="616"/>
        <w:gridCol w:w="146"/>
        <w:gridCol w:w="616"/>
        <w:gridCol w:w="146"/>
        <w:gridCol w:w="616"/>
        <w:gridCol w:w="146"/>
        <w:gridCol w:w="82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w:t>
              <w:br/>
              <w:t>Class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w:t>
              <w:br/>
              <w:t>Calculation</w:t>
              <w:br/>
              <w:t>or Carry</w:t>
              <w:br/>
              <w:t>Forward</w:t>
              <w:br/>
              <w:t>Rule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Amount</w:t>
              <w:br/>
              <w:t>Registered</w:t>
            </w:r>
            <w:r>
              <w:rPr>
                <w:rFonts w:ascii="Times New Roman" w:hAnsi="Times New Roman"/>
                <w:b/>
                <w:color w:val="000000"/>
                <w:sz w:val="9"/>
              </w:rPr>
              <w:t>(1)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Proposed</w:t>
              <w:br/>
              <w:t>Maximum</w:t>
              <w:br/>
              <w:t>Offering</w:t>
              <w:br/>
              <w:t>Price Per</w:t>
              <w:br/>
              <w:t>Unit</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Aggregate</w:t>
              <w:br/>
              <w:t>Offering</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of</w:t>
              <w:br/>
              <w:t>Registration</w:t>
              <w:br/>
              <w:t>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w:t>
              <w:br/>
              <w:t>Forward</w:t>
              <w:br/>
              <w:t>Form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w:t>
              <w:br/>
              <w:t>Forward File</w:t>
              <w:b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w:t>
              <w:br/>
              <w:t>Forward</w:t>
              <w:br/>
              <w:t>Initial</w:t>
              <w:b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Fee</w:t>
              <w:br/>
              <w:t>Previously</w:t>
              <w:br/>
              <w:t>Paid In</w:t>
              <w:br/>
              <w:t>Connection</w:t>
              <w:br/>
              <w:t>with Unsold</w:t>
              <w:br/>
              <w:t>Securities to</w:t>
              <w:br/>
              <w:t>be Carried</w:t>
              <w:br/>
              <w:t>Forward</w:t>
            </w:r>
          </w:p>
        </w:tc>
      </w:tr>
      <w:tr>
        <w:trPr/>
        <w:tc>
          <w:tcPr>
            <w:tcW w:w="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Newly Registered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to Be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Common</w:t>
              <w:br/>
              <w:t>Stock</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Rule</w:t>
              <w:br/>
              <w:t>457( 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0.0001381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Offering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Fees Previously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Fee Offsets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Net Fees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Rule 416 under the Securities Act of 1933, as amended, this registration statement shall be deemed to cover such additional number of securities as may be offered or issued in connection with any stock splits, stock dividends or similar transactions.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There are being registered hereunder such indeterminate number of share of common stock as shall have an aggregate initial offering price not to exceed $50,000,000.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1856/000119312526224023/genk-20260331.htm" TargetMode="External"/><Relationship Id="rId3" Type="http://schemas.openxmlformats.org/officeDocument/2006/relationships/hyperlink" Target="https://www.sec.gov/Archives/edgar/data/1891856/000095017024027323/genk-20231231.htm" TargetMode="External"/><Relationship Id="rId4" Type="http://schemas.openxmlformats.org/officeDocument/2006/relationships/hyperlink" Target="https://www.sec.gov/Archives/edgar/data/1891856/000095017024049812/genk_proxy_def_14a_2024.htm" TargetMode="External"/><Relationship Id="rId5" Type="http://schemas.openxmlformats.org/officeDocument/2006/relationships/hyperlink" Target="https://www.sec.gov/Archives/edgar/data/1891856/000119312526224023/genk-20260331.htm" TargetMode="External"/><Relationship Id="rId6" Type="http://schemas.openxmlformats.org/officeDocument/2006/relationships/hyperlink" Target="https://www.sec.gov/Archives/edgar/data/1891856/000119312526223971/genk-20260514.htm" TargetMode="External"/><Relationship Id="rId7" Type="http://schemas.openxmlformats.org/officeDocument/2006/relationships/hyperlink" Target="https://www.sec.gov/Archives/edgar/data/1891856/000119312526197123/genk-20260429.htm" TargetMode="External"/><Relationship Id="rId8" Type="http://schemas.openxmlformats.org/officeDocument/2006/relationships/hyperlink" Target="https://www.sec.gov/Archives/edgar/data/1891856/000119312526223971/genk-20260514.htm" TargetMode="External"/><Relationship Id="rId9" Type="http://schemas.openxmlformats.org/officeDocument/2006/relationships/hyperlink" Target="https://www.sec.gov/Archives/edgar/data/1891856/000119312523175265/d499095d8a12ba.htm" TargetMode="External"/><Relationship Id="rId10" Type="http://schemas.openxmlformats.org/officeDocument/2006/relationships/hyperlink" Target="https://www.sec.gov/Archives/edgar/data/1891856/000119312523182775/d516435dex31.htm" TargetMode="External"/><Relationship Id="rId11" Type="http://schemas.openxmlformats.org/officeDocument/2006/relationships/hyperlink" Target="https://www.sec.gov/Archives/edgar/data/1891856/000119312523182775/d516435dex32.htm" TargetMode="External"/><Relationship Id="rId12" Type="http://schemas.openxmlformats.org/officeDocument/2006/relationships/hyperlink" Target="https://www.sec.gov/Archives/edgar/data/1891856/000119312523166568/d234580dex41.htm" TargetMode="External"/><Relationship Id="rId13" Type="http://schemas.openxmlformats.org/officeDocument/2006/relationships/hyperlink" Target="https://www.sec.gov/Archives/edgar/data/1891856/000119312523155567/d234580dex101.htm" TargetMode="External"/><Relationship Id="rId14" Type="http://schemas.openxmlformats.org/officeDocument/2006/relationships/hyperlink" Target="https://www.sec.gov/Archives/edgar/data/1891856/000119312523155567/d234580d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12921</Words>
  <Characters>68185</Characters>
  <CharactersWithSpaces>81103</CharactersWithSpaces>
  <Paragraphs>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