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mc:AlternateContent>
          <mc:Choice Requires="wps">
            <w:drawing>
              <wp:anchor simplePos="0" relativeHeight="251657728" behindDoc="1" locked="0" layoutInCell="0" allowOverlap="1">
                <wp:simplePos x="0" y="0"/>
                <wp:positionH relativeFrom="page">
                  <wp:posOffset>342900</wp:posOffset>
                </wp:positionH>
                <wp:positionV relativeFrom="page">
                  <wp:posOffset>493395</wp:posOffset>
                </wp:positionV>
                <wp:extent cx="68580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pt,38.85pt" to="567pt,38.85pt" o:allowincell="f" strokecolor="#000000" strokeweight="0.75pt">
                <w10:wrap anchorx="page" anchory="page"/>
              </v:line>
            </w:pict>
          </mc:Fallback>
        </mc:AlternateContent>
        <mc:AlternateContent>
          <mc:Choice Requires="wps">
            <w:drawing>
              <wp:anchor simplePos="0" relativeHeight="251657728" behindDoc="1" locked="0" layoutInCell="0" allowOverlap="1">
                <wp:simplePos x="0" y="0"/>
                <wp:positionH relativeFrom="page">
                  <wp:posOffset>342900</wp:posOffset>
                </wp:positionH>
                <wp:positionV relativeFrom="page">
                  <wp:posOffset>512445</wp:posOffset>
                </wp:positionV>
                <wp:extent cx="68580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pt,40.35pt" to="567pt,40.35pt" o:allowincell="f" strokecolor="#000000" strokeweight="0.75pt">
                <w10:wrap anchorx="page" anchory="page"/>
              </v:line>
            </w:pict>
          </mc:Fallback>
        </mc:AlternateContent>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57150</wp:posOffset>
                </wp:positionV>
                <wp:extent cx="13716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4.5pt" to="324pt,4.5pt" o:allowincell="f" strokecolor="#000000" strokeweight="1pt"/>
            </w:pict>
          </mc:Fallback>
        </mc:AlternateConten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89535</wp:posOffset>
                </wp:positionV>
                <wp:extent cx="13716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7.05pt" to="324pt,7.05pt" o:allowincell="f" strokecolor="#000000" strokeweight="1pt"/>
            </w:pict>
          </mc:Fallback>
        </mc:AlternateContent>
      </w:r>
    </w:p>
    <w:p>
      <w:pPr>
        <w:spacing w:after="0" w:line="17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6" w:lineRule="exact"/>
        <w:rPr>
          <w:sz w:val="24"/>
          <w:szCs w:val="24"/>
          <w:color w:val="auto"/>
        </w:rPr>
      </w:pPr>
    </w:p>
    <w:p>
      <w:pPr>
        <w:ind w:left="440" w:hanging="426"/>
        <w:spacing w:after="0"/>
        <w:tabs>
          <w:tab w:leader="none" w:pos="440" w:val="left"/>
        </w:tabs>
        <w:numPr>
          <w:ilvl w:val="0"/>
          <w:numId w:val="1"/>
        </w:numPr>
        <w:rPr>
          <w:rFonts w:ascii="Segoe UI" w:cs="Segoe UI" w:eastAsia="Segoe UI" w:hAnsi="Segoe UI"/>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59" w:lineRule="exact"/>
        <w:rPr>
          <w:sz w:val="24"/>
          <w:szCs w:val="24"/>
          <w:color w:val="auto"/>
        </w:rPr>
      </w:pPr>
    </w:p>
    <w:p>
      <w:pPr>
        <w:ind w:left="440" w:right="1180" w:hanging="426"/>
        <w:spacing w:after="0" w:line="285" w:lineRule="auto"/>
        <w:tabs>
          <w:tab w:leader="none" w:pos="440" w:val="left"/>
        </w:tabs>
        <w:numPr>
          <w:ilvl w:val="0"/>
          <w:numId w:val="2"/>
        </w:numPr>
        <w:rPr>
          <w:rFonts w:ascii="Segoe UI" w:cs="Segoe UI" w:eastAsia="Segoe UI" w:hAnsi="Segoe UI"/>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 to _________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001-41727</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8"/>
          <w:szCs w:val="48"/>
          <w:b w:val="1"/>
          <w:bCs w:val="1"/>
          <w:color w:val="auto"/>
        </w:rPr>
        <w:t>GEN Restaurant Group, Inc.</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-320040</wp:posOffset>
                </wp:positionV>
                <wp:extent cx="13716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25.1999pt" to="324pt,-25.1999pt" o:allowincell="f" strokecolor="#000000" strokeweight="1pt"/>
            </w:pict>
          </mc:Fallback>
        </mc:AlternateContent>
      </w:r>
    </w:p>
    <w:p>
      <w:pPr>
        <w:sectPr>
          <w:pgSz w:w="12240" w:h="15840" w:orient="portrait"/>
          <w:cols w:equalWidth="0" w:num="1">
            <w:col w:w="10800"/>
          </w:cols>
          <w:pgMar w:left="540" w:top="916" w:right="900" w:bottom="764" w:gutter="0" w:footer="0" w:header="0"/>
        </w:sectPr>
      </w:pPr>
    </w:p>
    <w:p>
      <w:pPr>
        <w:spacing w:after="0" w:line="6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57785</wp:posOffset>
                </wp:positionV>
                <wp:extent cx="13716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4.55pt" to="324pt,4.55pt" o:allowincell="f" strokecolor="#000000" strokeweight="1pt"/>
            </w:pict>
          </mc:Fallback>
        </mc:AlternateContent>
      </w:r>
    </w:p>
    <w:p>
      <w:pPr>
        <w:spacing w:after="0" w:line="127"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20"/>
          <w:szCs w:val="20"/>
          <w:b w:val="1"/>
          <w:bCs w:val="1"/>
          <w:color w:val="auto"/>
        </w:rPr>
        <w:t>Delaware</w:t>
      </w:r>
    </w:p>
    <w:p>
      <w:pPr>
        <w:spacing w:after="0" w:line="29"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7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87-3424935</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3" w:lineRule="exact"/>
        <w:rPr>
          <w:sz w:val="24"/>
          <w:szCs w:val="24"/>
          <w:color w:val="auto"/>
        </w:rPr>
      </w:pPr>
    </w:p>
    <w:p>
      <w:pPr>
        <w:sectPr>
          <w:pgSz w:w="12240" w:h="15840" w:orient="portrait"/>
          <w:cols w:equalWidth="0" w:num="2">
            <w:col w:w="7380" w:space="160"/>
            <w:col w:w="3260"/>
          </w:cols>
          <w:pgMar w:left="540" w:top="916" w:right="900" w:bottom="764" w:gutter="0" w:footer="0" w:header="0"/>
          <w:type w:val="continuous"/>
        </w:sectPr>
      </w:pPr>
    </w:p>
    <w:p>
      <w:pPr>
        <w:ind w:left="1480"/>
        <w:spacing w:after="0"/>
        <w:rPr>
          <w:sz w:val="20"/>
          <w:szCs w:val="20"/>
          <w:color w:val="auto"/>
        </w:rPr>
      </w:pPr>
      <w:r>
        <w:rPr>
          <w:rFonts w:ascii="Times New Roman" w:cs="Times New Roman" w:eastAsia="Times New Roman" w:hAnsi="Times New Roman"/>
          <w:sz w:val="20"/>
          <w:szCs w:val="20"/>
          <w:b w:val="1"/>
          <w:bCs w:val="1"/>
          <w:color w:val="auto"/>
        </w:rPr>
        <w:t>11480 South Street Suite 205</w:t>
      </w:r>
    </w:p>
    <w:p>
      <w:pPr>
        <w:ind w:left="2140"/>
        <w:spacing w:after="0" w:line="237" w:lineRule="auto"/>
        <w:tabs>
          <w:tab w:leader="none" w:pos="7820" w:val="left"/>
        </w:tabs>
        <w:rPr>
          <w:sz w:val="20"/>
          <w:szCs w:val="20"/>
          <w:color w:val="auto"/>
        </w:rPr>
      </w:pPr>
      <w:r>
        <w:rPr>
          <w:rFonts w:ascii="Times New Roman" w:cs="Times New Roman" w:eastAsia="Times New Roman" w:hAnsi="Times New Roman"/>
          <w:sz w:val="20"/>
          <w:szCs w:val="20"/>
          <w:b w:val="1"/>
          <w:bCs w:val="1"/>
          <w:color w:val="auto"/>
        </w:rPr>
        <w:t>Cerritos, CA</w:t>
      </w:r>
      <w:r>
        <w:rPr>
          <w:sz w:val="20"/>
          <w:szCs w:val="20"/>
          <w:color w:val="auto"/>
        </w:rPr>
        <w:tab/>
      </w:r>
      <w:r>
        <w:rPr>
          <w:rFonts w:ascii="Times New Roman" w:cs="Times New Roman" w:eastAsia="Times New Roman" w:hAnsi="Times New Roman"/>
          <w:sz w:val="20"/>
          <w:szCs w:val="20"/>
          <w:b w:val="1"/>
          <w:bCs w:val="1"/>
          <w:color w:val="auto"/>
        </w:rPr>
        <w:t>90703</w:t>
      </w:r>
    </w:p>
    <w:p>
      <w:pPr>
        <w:ind w:left="1540"/>
        <w:spacing w:after="0"/>
        <w:tabs>
          <w:tab w:leader="none" w:pos="774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33"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(562) 356-9929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75565</wp:posOffset>
                </wp:positionV>
                <wp:extent cx="13716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5.95pt" to="324pt,5.95pt" o:allowincell="f" strokecolor="#000000" strokeweight="1pt"/>
            </w:pict>
          </mc:Fallback>
        </mc:AlternateContent>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67"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6"/>
          <w:szCs w:val="16"/>
          <w:b w:val="1"/>
          <w:bCs w:val="1"/>
          <w:color w:val="auto"/>
        </w:rPr>
        <w:t>Trading</w:t>
      </w:r>
    </w:p>
    <w:p>
      <w:pPr>
        <w:spacing w:after="0" w:line="19" w:lineRule="exact"/>
        <w:rPr>
          <w:sz w:val="24"/>
          <w:szCs w:val="24"/>
          <w:color w:val="auto"/>
        </w:rPr>
      </w:pPr>
    </w:p>
    <w:p>
      <w:pPr>
        <w:ind w:left="1460"/>
        <w:spacing w:after="0"/>
        <w:tabs>
          <w:tab w:leader="none" w:pos="4660" w:val="left"/>
          <w:tab w:leader="none" w:pos="6860" w:val="left"/>
        </w:tabs>
        <w:rPr>
          <w:sz w:val="20"/>
          <w:szCs w:val="20"/>
          <w:color w:val="auto"/>
        </w:rPr>
      </w:pPr>
      <w:r>
        <w:rPr>
          <w:rFonts w:ascii="Times New Roman" w:cs="Times New Roman" w:eastAsia="Times New Roman" w:hAnsi="Times New Roman"/>
          <w:sz w:val="16"/>
          <w:szCs w:val="16"/>
          <w:b w:val="1"/>
          <w:bCs w:val="1"/>
          <w:color w:val="auto"/>
        </w:rPr>
        <w:t>Title of each class</w:t>
      </w:r>
      <w:r>
        <w:rPr>
          <w:sz w:val="20"/>
          <w:szCs w:val="20"/>
          <w:color w:val="auto"/>
        </w:rPr>
        <w:tab/>
      </w:r>
      <w:r>
        <w:rPr>
          <w:rFonts w:ascii="Times New Roman" w:cs="Times New Roman" w:eastAsia="Times New Roman" w:hAnsi="Times New Roman"/>
          <w:sz w:val="16"/>
          <w:szCs w:val="16"/>
          <w:b w:val="1"/>
          <w:bCs w:val="1"/>
          <w:color w:val="auto"/>
        </w:rPr>
        <w:t>Symbol(s)</w:t>
      </w:r>
      <w:r>
        <w:rPr>
          <w:sz w:val="20"/>
          <w:szCs w:val="20"/>
          <w:color w:val="auto"/>
        </w:rPr>
        <w:tab/>
      </w:r>
      <w:r>
        <w:rPr>
          <w:rFonts w:ascii="Times New Roman" w:cs="Times New Roman" w:eastAsia="Times New Roman" w:hAnsi="Times New Roman"/>
          <w:sz w:val="16"/>
          <w:szCs w:val="16"/>
          <w:b w:val="1"/>
          <w:bCs w:val="1"/>
          <w:color w:val="auto"/>
        </w:rPr>
        <w:t>Name of each exchange on which registered</w:t>
      </w:r>
    </w:p>
    <w:tbl>
      <w:tblPr>
        <w:tblLayout w:type="fixed"/>
        <w:tblInd w:w="0" w:type="dxa"/>
        <w:tblCellMar>
          <w:top w:w="0" w:type="dxa"/>
          <w:left w:w="0" w:type="dxa"/>
          <w:bottom w:w="0" w:type="dxa"/>
          <w:right w:w="0" w:type="dxa"/>
        </w:tblCellMar>
      </w:tblPr>
      <w:tr>
        <w:trPr>
          <w:trHeight w:val="200"/>
        </w:trPr>
        <w:tc>
          <w:tcPr>
            <w:tcW w:w="41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w w:val="99"/>
              </w:rPr>
              <w:t>Class A Common stock,</w:t>
            </w:r>
          </w:p>
        </w:tc>
        <w:tc>
          <w:tcPr>
            <w:tcW w:w="12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60" w:type="dxa"/>
            <w:vAlign w:val="bottom"/>
            <w:tcBorders>
              <w:top w:val="single" w:sz="8" w:color="auto"/>
            </w:tcBorders>
            <w:gridSpan w:val="2"/>
          </w:tcPr>
          <w:p>
            <w:pPr>
              <w:jc w:val="center"/>
              <w:spacing w:after="0" w:line="201" w:lineRule="exact"/>
              <w:rPr>
                <w:sz w:val="20"/>
                <w:szCs w:val="20"/>
                <w:color w:val="auto"/>
              </w:rPr>
            </w:pPr>
            <w:r>
              <w:rPr>
                <w:rFonts w:ascii="Times New Roman" w:cs="Times New Roman" w:eastAsia="Times New Roman" w:hAnsi="Times New Roman"/>
                <w:sz w:val="20"/>
                <w:szCs w:val="20"/>
                <w:color w:val="auto"/>
              </w:rPr>
              <w:t>The Nasdaq Stock Market LLC</w:t>
            </w:r>
          </w:p>
        </w:tc>
      </w:tr>
      <w:tr>
        <w:trPr>
          <w:trHeight w:val="266"/>
        </w:trPr>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par value $0.001 per share</w:t>
            </w:r>
          </w:p>
        </w:tc>
        <w:tc>
          <w:tcPr>
            <w:tcW w:w="120" w:type="dxa"/>
            <w:vAlign w:val="bottom"/>
          </w:tcPr>
          <w:p>
            <w:pPr>
              <w:spacing w:after="0"/>
              <w:rPr>
                <w:sz w:val="23"/>
                <w:szCs w:val="23"/>
                <w:color w:val="auto"/>
              </w:rPr>
            </w:pPr>
          </w:p>
        </w:tc>
        <w:tc>
          <w:tcPr>
            <w:tcW w:w="16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GENK</w:t>
            </w:r>
          </w:p>
        </w:tc>
        <w:tc>
          <w:tcPr>
            <w:tcW w:w="100" w:type="dxa"/>
            <w:vAlign w:val="bottom"/>
          </w:tcPr>
          <w:p>
            <w:pPr>
              <w:spacing w:after="0"/>
              <w:rPr>
                <w:sz w:val="23"/>
                <w:szCs w:val="23"/>
                <w:color w:val="auto"/>
              </w:rPr>
            </w:pPr>
          </w:p>
        </w:tc>
        <w:tc>
          <w:tcPr>
            <w:tcW w:w="4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(The Nasdaq Global Market)</w:t>
            </w:r>
          </w:p>
        </w:tc>
      </w:tr>
      <w:tr>
        <w:trPr>
          <w:trHeight w:val="231"/>
        </w:trPr>
        <w:tc>
          <w:tcPr>
            <w:tcW w:w="410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Securities registered pursuant to Section 12(g) of the Act: </w:t>
            </w:r>
            <w:r>
              <w:rPr>
                <w:rFonts w:ascii="Times New Roman" w:cs="Times New Roman" w:eastAsia="Times New Roman" w:hAnsi="Times New Roman"/>
                <w:sz w:val="15"/>
                <w:szCs w:val="15"/>
                <w:b w:val="1"/>
                <w:bCs w:val="1"/>
                <w:color w:val="auto"/>
              </w:rPr>
              <w:t>None</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272"/>
        </w:trPr>
        <w:tc>
          <w:tcPr>
            <w:tcW w:w="77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Segoe UI" w:cs="Segoe UI" w:eastAsia="Segoe UI" w:hAnsi="Segoe UI"/>
                <w:sz w:val="15"/>
                <w:szCs w:val="15"/>
                <w:color w:val="auto"/>
              </w:rPr>
              <w:t>ն</w:t>
            </w:r>
          </w:p>
        </w:tc>
        <w:tc>
          <w:tcPr>
            <w:tcW w:w="308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NO </w:t>
            </w:r>
            <w:r>
              <w:rPr>
                <w:rFonts w:ascii="Segoe UI" w:cs="Segoe UI" w:eastAsia="Segoe UI" w:hAnsi="Segoe UI"/>
                <w:sz w:val="15"/>
                <w:szCs w:val="15"/>
                <w:color w:val="auto"/>
              </w:rPr>
              <w:t>շ</w:t>
            </w:r>
          </w:p>
        </w:tc>
      </w:tr>
      <w:tr>
        <w:trPr>
          <w:trHeight w:val="260"/>
        </w:trPr>
        <w:tc>
          <w:tcPr>
            <w:tcW w:w="77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Section 15(d) of the Act. YES </w:t>
            </w:r>
            <w:r>
              <w:rPr>
                <w:rFonts w:ascii="Segoe UI" w:cs="Segoe UI" w:eastAsia="Segoe UI" w:hAnsi="Segoe UI"/>
                <w:sz w:val="15"/>
                <w:szCs w:val="15"/>
                <w:color w:val="auto"/>
              </w:rPr>
              <w:t>ն</w:t>
            </w:r>
          </w:p>
        </w:tc>
        <w:tc>
          <w:tcPr>
            <w:tcW w:w="30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 xml:space="preserve">NO </w:t>
            </w:r>
            <w:r>
              <w:rPr>
                <w:rFonts w:ascii="Segoe UI" w:cs="Segoe UI" w:eastAsia="Segoe UI" w:hAnsi="Segoe UI"/>
                <w:sz w:val="15"/>
                <w:szCs w:val="15"/>
                <w:color w:val="auto"/>
              </w:rPr>
              <w:t>շ</w:t>
            </w:r>
          </w:p>
        </w:tc>
      </w:tr>
    </w:tbl>
    <w:p>
      <w:pPr>
        <w:spacing w:after="0" w:line="16" w:lineRule="exact"/>
        <w:rPr>
          <w:sz w:val="24"/>
          <w:szCs w:val="24"/>
          <w:color w:val="auto"/>
        </w:rPr>
      </w:pPr>
    </w:p>
    <w:p>
      <w:pPr>
        <w:ind w:right="80"/>
        <w:spacing w:after="0" w:line="278"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w:cs="Segoe UI" w:eastAsia="Segoe UI" w:hAnsi="Segoe UI"/>
          <w:sz w:val="15"/>
          <w:szCs w:val="15"/>
          <w:color w:val="auto"/>
        </w:rPr>
        <w:t>շ</w:t>
      </w:r>
      <w:r>
        <w:rPr>
          <w:rFonts w:ascii="Times New Roman" w:cs="Times New Roman" w:eastAsia="Times New Roman" w:hAnsi="Times New Roman"/>
          <w:sz w:val="15"/>
          <w:szCs w:val="15"/>
          <w:color w:val="auto"/>
        </w:rPr>
        <w:t xml:space="preserve"> NO </w:t>
      </w:r>
      <w:r>
        <w:rPr>
          <w:rFonts w:ascii="Segoe UI" w:cs="Segoe UI" w:eastAsia="Segoe UI" w:hAnsi="Segoe UI"/>
          <w:sz w:val="15"/>
          <w:szCs w:val="15"/>
          <w:color w:val="auto"/>
        </w:rPr>
        <w:t>ն</w:t>
      </w:r>
    </w:p>
    <w:p>
      <w:pPr>
        <w:spacing w:after="0" w:line="1" w:lineRule="exact"/>
        <w:rPr>
          <w:sz w:val="24"/>
          <w:szCs w:val="24"/>
          <w:color w:val="auto"/>
        </w:rPr>
      </w:pPr>
    </w:p>
    <w:p>
      <w:pPr>
        <w:ind w:right="120"/>
        <w:spacing w:after="0" w:line="278"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w:cs="Segoe UI" w:eastAsia="Segoe UI" w:hAnsi="Segoe UI"/>
          <w:sz w:val="15"/>
          <w:szCs w:val="15"/>
          <w:color w:val="auto"/>
        </w:rPr>
        <w:t>շ</w:t>
      </w:r>
      <w:r>
        <w:rPr>
          <w:rFonts w:ascii="Times New Roman" w:cs="Times New Roman" w:eastAsia="Times New Roman" w:hAnsi="Times New Roman"/>
          <w:sz w:val="15"/>
          <w:szCs w:val="15"/>
          <w:color w:val="auto"/>
        </w:rPr>
        <w:t xml:space="preserve"> NO </w:t>
      </w:r>
      <w:r>
        <w:rPr>
          <w:rFonts w:ascii="Segoe UI" w:cs="Segoe UI" w:eastAsia="Segoe UI" w:hAnsi="Segoe UI"/>
          <w:sz w:val="15"/>
          <w:szCs w:val="15"/>
          <w:color w:val="auto"/>
        </w:rPr>
        <w:t>ն</w:t>
      </w:r>
    </w:p>
    <w:p>
      <w:pPr>
        <w:spacing w:after="0" w:line="1" w:lineRule="exact"/>
        <w:rPr>
          <w:sz w:val="24"/>
          <w:szCs w:val="24"/>
          <w:color w:val="auto"/>
        </w:rPr>
      </w:pPr>
    </w:p>
    <w:p>
      <w:pPr>
        <w:ind w:right="180"/>
        <w:spacing w:after="0" w:line="28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44"/>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380" w:type="dxa"/>
            <w:vAlign w:val="bottom"/>
          </w:tcPr>
          <w:p>
            <w:pPr>
              <w:ind w:left="280"/>
              <w:spacing w:after="0"/>
              <w:rPr>
                <w:sz w:val="20"/>
                <w:szCs w:val="20"/>
                <w:color w:val="auto"/>
              </w:rPr>
            </w:pPr>
            <w:r>
              <w:rPr>
                <w:rFonts w:ascii="Segoe UI" w:cs="Segoe UI" w:eastAsia="Segoe UI" w:hAnsi="Segoe UI"/>
                <w:sz w:val="15"/>
                <w:szCs w:val="15"/>
                <w:color w:val="auto"/>
              </w:rPr>
              <w:t>ն</w:t>
            </w:r>
          </w:p>
        </w:tc>
        <w:tc>
          <w:tcPr>
            <w:tcW w:w="4960" w:type="dxa"/>
            <w:vAlign w:val="bottom"/>
          </w:tcPr>
          <w:p>
            <w:pPr>
              <w:ind w:left="3000"/>
              <w:spacing w:after="0"/>
              <w:rPr>
                <w:sz w:val="20"/>
                <w:szCs w:val="20"/>
                <w:color w:val="auto"/>
              </w:rPr>
            </w:pPr>
            <w:r>
              <w:rPr>
                <w:rFonts w:ascii="Times New Roman" w:cs="Times New Roman" w:eastAsia="Times New Roman" w:hAnsi="Times New Roman"/>
                <w:sz w:val="15"/>
                <w:szCs w:val="15"/>
                <w:color w:val="auto"/>
              </w:rPr>
              <w:t>Accelerated filer</w:t>
            </w:r>
          </w:p>
        </w:tc>
        <w:tc>
          <w:tcPr>
            <w:tcW w:w="460" w:type="dxa"/>
            <w:vAlign w:val="bottom"/>
          </w:tcPr>
          <w:p>
            <w:pPr>
              <w:ind w:left="340"/>
              <w:spacing w:after="0"/>
              <w:rPr>
                <w:sz w:val="20"/>
                <w:szCs w:val="20"/>
                <w:color w:val="auto"/>
              </w:rPr>
            </w:pPr>
            <w:r>
              <w:rPr>
                <w:rFonts w:ascii="Segoe UI" w:cs="Segoe UI" w:eastAsia="Segoe UI" w:hAnsi="Segoe UI"/>
                <w:sz w:val="15"/>
                <w:szCs w:val="15"/>
                <w:color w:val="auto"/>
              </w:rPr>
              <w:t>ն</w:t>
            </w:r>
          </w:p>
        </w:tc>
      </w:tr>
      <w:tr>
        <w:trPr>
          <w:trHeight w:val="274"/>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380" w:type="dxa"/>
            <w:vAlign w:val="bottom"/>
          </w:tcPr>
          <w:p>
            <w:pPr>
              <w:ind w:left="280"/>
              <w:spacing w:after="0"/>
              <w:rPr>
                <w:sz w:val="20"/>
                <w:szCs w:val="20"/>
                <w:color w:val="auto"/>
              </w:rPr>
            </w:pPr>
            <w:r>
              <w:rPr>
                <w:rFonts w:ascii="Segoe UI" w:cs="Segoe UI" w:eastAsia="Segoe UI" w:hAnsi="Segoe UI"/>
                <w:sz w:val="15"/>
                <w:szCs w:val="15"/>
                <w:color w:val="auto"/>
              </w:rPr>
              <w:t>շ</w:t>
            </w:r>
          </w:p>
        </w:tc>
        <w:tc>
          <w:tcPr>
            <w:tcW w:w="4960" w:type="dxa"/>
            <w:vAlign w:val="bottom"/>
          </w:tcPr>
          <w:p>
            <w:pPr>
              <w:ind w:left="30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460" w:type="dxa"/>
            <w:vAlign w:val="bottom"/>
          </w:tcPr>
          <w:p>
            <w:pPr>
              <w:ind w:left="340"/>
              <w:spacing w:after="0"/>
              <w:rPr>
                <w:sz w:val="20"/>
                <w:szCs w:val="20"/>
                <w:color w:val="auto"/>
              </w:rPr>
            </w:pPr>
            <w:r>
              <w:rPr>
                <w:rFonts w:ascii="Segoe UI" w:cs="Segoe UI" w:eastAsia="Segoe UI" w:hAnsi="Segoe UI"/>
                <w:sz w:val="15"/>
                <w:szCs w:val="15"/>
                <w:color w:val="auto"/>
              </w:rPr>
              <w:t>շ</w:t>
            </w:r>
          </w:p>
        </w:tc>
      </w:tr>
      <w:tr>
        <w:trPr>
          <w:trHeight w:val="273"/>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380" w:type="dxa"/>
            <w:vAlign w:val="bottom"/>
          </w:tcPr>
          <w:p>
            <w:pPr>
              <w:ind w:left="280"/>
              <w:spacing w:after="0"/>
              <w:rPr>
                <w:sz w:val="20"/>
                <w:szCs w:val="20"/>
                <w:color w:val="auto"/>
              </w:rPr>
            </w:pPr>
            <w:r>
              <w:rPr>
                <w:rFonts w:ascii="Segoe UI" w:cs="Segoe UI" w:eastAsia="Segoe UI" w:hAnsi="Segoe UI"/>
                <w:sz w:val="15"/>
                <w:szCs w:val="15"/>
                <w:color w:val="auto"/>
              </w:rPr>
              <w:t>շ</w:t>
            </w:r>
          </w:p>
        </w:tc>
        <w:tc>
          <w:tcPr>
            <w:tcW w:w="496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25" w:lineRule="exact"/>
        <w:rPr>
          <w:sz w:val="24"/>
          <w:szCs w:val="24"/>
          <w:color w:val="auto"/>
        </w:rPr>
      </w:pPr>
    </w:p>
    <w:p>
      <w:pPr>
        <w:ind w:right="360"/>
        <w:spacing w:after="0" w:line="278" w:lineRule="auto"/>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5"/>
          <w:szCs w:val="15"/>
          <w:color w:val="auto"/>
        </w:rPr>
        <w:t>ն</w:t>
      </w:r>
    </w:p>
    <w:p>
      <w:pPr>
        <w:spacing w:after="0" w:line="1" w:lineRule="exact"/>
        <w:rPr>
          <w:sz w:val="24"/>
          <w:szCs w:val="24"/>
          <w:color w:val="auto"/>
        </w:rPr>
      </w:pPr>
    </w:p>
    <w:p>
      <w:pPr>
        <w:ind w:right="580"/>
        <w:spacing w:after="0" w:line="278"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w:cs="Segoe UI" w:eastAsia="Segoe UI" w:hAnsi="Segoe UI"/>
          <w:sz w:val="15"/>
          <w:szCs w:val="15"/>
          <w:color w:val="auto"/>
        </w:rPr>
        <w:t>ն</w:t>
      </w:r>
    </w:p>
    <w:p>
      <w:pPr>
        <w:spacing w:after="0" w:line="1" w:lineRule="exact"/>
        <w:rPr>
          <w:sz w:val="24"/>
          <w:szCs w:val="24"/>
          <w:color w:val="auto"/>
        </w:rPr>
      </w:pPr>
    </w:p>
    <w:p>
      <w:pPr>
        <w:ind w:right="40"/>
        <w:spacing w:after="0" w:line="278" w:lineRule="auto"/>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5"/>
          <w:szCs w:val="15"/>
          <w:color w:val="auto"/>
        </w:rPr>
        <w:t>ն</w:t>
      </w:r>
    </w:p>
    <w:p>
      <w:pPr>
        <w:spacing w:after="0" w:line="1" w:lineRule="exact"/>
        <w:rPr>
          <w:sz w:val="24"/>
          <w:szCs w:val="24"/>
          <w:color w:val="auto"/>
        </w:rPr>
      </w:pPr>
    </w:p>
    <w:p>
      <w:pPr>
        <w:ind w:right="700"/>
        <w:spacing w:after="0" w:line="278" w:lineRule="auto"/>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w:cs="Segoe UI" w:eastAsia="Segoe UI" w:hAnsi="Segoe UI"/>
          <w:sz w:val="15"/>
          <w:szCs w:val="15"/>
          <w:color w:val="auto"/>
        </w:rPr>
        <w:t>ն</w:t>
      </w:r>
    </w:p>
    <w:p>
      <w:pPr>
        <w:spacing w:after="0" w:line="1" w:lineRule="exact"/>
        <w:rPr>
          <w:sz w:val="24"/>
          <w:szCs w:val="24"/>
          <w:color w:val="auto"/>
        </w:rPr>
      </w:pPr>
    </w:p>
    <w:p>
      <w:pPr>
        <w:spacing w:after="0"/>
        <w:tabs>
          <w:tab w:leader="none" w:pos="7500" w:val="left"/>
        </w:tabs>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Segoe UI" w:cs="Segoe UI" w:eastAsia="Segoe UI" w:hAnsi="Segoe UI"/>
          <w:sz w:val="15"/>
          <w:szCs w:val="15"/>
          <w:color w:val="auto"/>
        </w:rPr>
        <w:t>ն</w:t>
      </w:r>
      <w:r>
        <w:rPr>
          <w:rFonts w:ascii="Times New Roman" w:cs="Times New Roman" w:eastAsia="Times New Roman" w:hAnsi="Times New Roman"/>
          <w:sz w:val="15"/>
          <w:szCs w:val="15"/>
          <w:color w:val="auto"/>
        </w:rPr>
        <w:tab/>
        <w:t xml:space="preserve">NO </w:t>
      </w:r>
      <w:r>
        <w:rPr>
          <w:rFonts w:ascii="Segoe UI" w:cs="Segoe UI" w:eastAsia="Segoe UI" w:hAnsi="Segoe UI"/>
          <w:sz w:val="15"/>
          <w:szCs w:val="15"/>
          <w:color w:val="auto"/>
        </w:rPr>
        <w:t>շ</w:t>
      </w:r>
    </w:p>
    <w:p>
      <w:pPr>
        <w:spacing w:after="0" w:line="60" w:lineRule="exact"/>
        <w:rPr>
          <w:sz w:val="24"/>
          <w:szCs w:val="24"/>
          <w:color w:val="auto"/>
        </w:rPr>
      </w:pPr>
    </w:p>
    <w:p>
      <w:pPr>
        <w:ind w:right="120"/>
        <w:spacing w:after="0" w:line="280" w:lineRule="auto"/>
        <w:rPr>
          <w:sz w:val="20"/>
          <w:szCs w:val="20"/>
          <w:color w:val="auto"/>
        </w:rPr>
      </w:pPr>
      <w:r>
        <w:rPr>
          <w:rFonts w:ascii="Times New Roman" w:cs="Times New Roman" w:eastAsia="Times New Roman" w:hAnsi="Times New Roman"/>
          <w:sz w:val="15"/>
          <w:szCs w:val="15"/>
          <w:color w:val="auto"/>
        </w:rPr>
        <w:t>The aggregate market value of the voting and non-voting common equity held by non-affiliates of the Registrant, based on the closing price of the shares of common stock on the Nasdaq Global Market on June 30, 2025 was $20,803.938.</w:t>
      </w:r>
    </w:p>
    <w:p>
      <w:pPr>
        <w:spacing w:after="0" w:line="2" w:lineRule="exact"/>
        <w:rPr>
          <w:sz w:val="24"/>
          <w:szCs w:val="24"/>
          <w:color w:val="auto"/>
        </w:rPr>
      </w:pPr>
    </w:p>
    <w:p>
      <w:pPr>
        <w:jc w:val="center"/>
        <w:ind w:right="320"/>
        <w:spacing w:after="0" w:line="323" w:lineRule="auto"/>
        <w:rPr>
          <w:sz w:val="20"/>
          <w:szCs w:val="20"/>
          <w:color w:val="auto"/>
        </w:rPr>
      </w:pPr>
      <w:r>
        <w:rPr>
          <w:rFonts w:ascii="Times New Roman" w:cs="Times New Roman" w:eastAsia="Times New Roman" w:hAnsi="Times New Roman"/>
          <w:sz w:val="15"/>
          <w:szCs w:val="15"/>
          <w:color w:val="auto"/>
        </w:rPr>
        <w:t>As of March 24, 2026, there were outstanding 5,364,141 shares of the Registrant’s Class A Common Stock and 27,559,810 shares of the Registrant’s Class B Common Stock. DOCUMENTS INCORPORATED BY REFERENCE</w:t>
      </w:r>
    </w:p>
    <w:p>
      <w:pPr>
        <w:spacing w:after="0" w:line="1" w:lineRule="exact"/>
        <w:rPr>
          <w:sz w:val="24"/>
          <w:szCs w:val="24"/>
          <w:color w:val="auto"/>
        </w:rPr>
      </w:pPr>
    </w:p>
    <w:p>
      <w:pPr>
        <w:ind w:right="220"/>
        <w:spacing w:after="0" w:line="260" w:lineRule="auto"/>
        <w:rPr>
          <w:sz w:val="20"/>
          <w:szCs w:val="20"/>
          <w:color w:val="auto"/>
        </w:rPr>
      </w:pPr>
      <w:r>
        <w:rPr>
          <w:rFonts w:ascii="Times New Roman" w:cs="Times New Roman" w:eastAsia="Times New Roman" w:hAnsi="Times New Roman"/>
          <w:sz w:val="15"/>
          <w:szCs w:val="15"/>
          <w:color w:val="auto"/>
        </w:rPr>
        <w:t>Portions of the registrant’s definitive proxy statement relating to its 2026 annual meeting of stockholders are incorporated information by reference into Part III of this Annual Report on Form 10-K where indicated. Such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75565</wp:posOffset>
                </wp:positionV>
                <wp:extent cx="68580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95pt" to="540pt,5.9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94615</wp:posOffset>
                </wp:positionV>
                <wp:extent cx="68580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45pt" to="540pt,7.45pt" o:allowincell="f" strokecolor="#000000" strokeweight="0.75pt"/>
            </w:pict>
          </mc:Fallback>
        </mc:AlternateContent>
      </w:r>
    </w:p>
    <w:p>
      <w:pPr>
        <w:sectPr>
          <w:pgSz w:w="12240" w:h="15840" w:orient="portrait"/>
          <w:cols w:equalWidth="0" w:num="1">
            <w:col w:w="10800"/>
          </w:cols>
          <w:pgMar w:left="540" w:top="916" w:right="900" w:bottom="764"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74"/>
        </w:trPr>
        <w:tc>
          <w:tcPr>
            <w:tcW w:w="940" w:type="dxa"/>
            <w:vAlign w:val="bottom"/>
          </w:tcPr>
          <w:p>
            <w:pPr>
              <w:spacing w:after="0"/>
              <w:rPr>
                <w:sz w:val="23"/>
                <w:szCs w:val="23"/>
                <w:color w:val="auto"/>
              </w:rPr>
            </w:pPr>
          </w:p>
        </w:tc>
        <w:tc>
          <w:tcPr>
            <w:tcW w:w="7760" w:type="dxa"/>
            <w:vAlign w:val="bottom"/>
          </w:tcPr>
          <w:p>
            <w:pPr>
              <w:ind w:left="298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6"/>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7760" w:type="dxa"/>
            <w:vAlign w:val="bottom"/>
          </w:tcPr>
          <w:p>
            <w:pPr>
              <w:spacing w:after="0"/>
              <w:rPr>
                <w:sz w:val="24"/>
                <w:szCs w:val="24"/>
                <w:color w:val="auto"/>
              </w:rPr>
            </w:pPr>
          </w:p>
        </w:tc>
        <w:tc>
          <w:tcPr>
            <w:tcW w:w="6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26"/>
        </w:trPr>
        <w:tc>
          <w:tcPr>
            <w:tcW w:w="940" w:type="dxa"/>
            <w:vAlign w:val="bottom"/>
            <w:vMerge w:val="continue"/>
          </w:tcPr>
          <w:p>
            <w:pPr>
              <w:spacing w:after="0"/>
              <w:rPr>
                <w:sz w:val="19"/>
                <w:szCs w:val="19"/>
                <w:color w:val="auto"/>
              </w:rPr>
            </w:pPr>
          </w:p>
        </w:tc>
        <w:tc>
          <w:tcPr>
            <w:tcW w:w="7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Business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1A.</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Risk Factors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1B.</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Unresolved Staff Comments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1C</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Cybersecurity</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2.</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Properties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3.</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266"/>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4.</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Mine Safety Disclosures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469"/>
        </w:trPr>
        <w:tc>
          <w:tcPr>
            <w:tcW w:w="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7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5.</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Market for Registrant’s Common Equity, Related Stockholder Matters and Issuer Purchases of</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Equity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6.</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Reserved</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7.</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7A.</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Quantitative and Qualitative Disclosures About Market Risk</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8.</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Financial Statements and Supplementary Data</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9.</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Changes in and Disagreements with Accountants on Accounting and Financial Disclosure</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9A.</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9B.</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Other Information</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0" w:type="dxa"/>
            <w:vAlign w:val="bottom"/>
          </w:tcPr>
          <w:p>
            <w:pPr>
              <w:spacing w:after="0"/>
              <w:rPr>
                <w:sz w:val="1"/>
                <w:szCs w:val="1"/>
                <w:color w:val="auto"/>
              </w:rPr>
            </w:pPr>
          </w:p>
        </w:tc>
      </w:tr>
      <w:tr>
        <w:trPr>
          <w:trHeight w:val="266"/>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9C.</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Disclosure Regarding Foreign Jurisdictions that Prevent Inspections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0" w:type="dxa"/>
            <w:vAlign w:val="bottom"/>
          </w:tcPr>
          <w:p>
            <w:pPr>
              <w:spacing w:after="0"/>
              <w:rPr>
                <w:sz w:val="1"/>
                <w:szCs w:val="1"/>
                <w:color w:val="auto"/>
              </w:rPr>
            </w:pPr>
          </w:p>
        </w:tc>
      </w:tr>
      <w:tr>
        <w:trPr>
          <w:trHeight w:val="469"/>
        </w:trPr>
        <w:tc>
          <w:tcPr>
            <w:tcW w:w="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7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10.</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Directors, Executive Officers and Corporate Governance</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11.</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Executive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0" w:type="dxa"/>
            <w:vAlign w:val="bottom"/>
          </w:tcPr>
          <w:p>
            <w:pPr>
              <w:spacing w:after="0"/>
              <w:rPr>
                <w:sz w:val="1"/>
                <w:szCs w:val="1"/>
                <w:color w:val="auto"/>
              </w:rPr>
            </w:pPr>
          </w:p>
        </w:tc>
      </w:tr>
      <w:tr>
        <w:trPr>
          <w:trHeight w:val="230"/>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12.</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Security Ownership of Certain Beneficial Owners and Management and Related Stockholder</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Matters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13.</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Certain Relationships and Related Transactions, and Director Independence</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0" w:type="dxa"/>
            <w:vAlign w:val="bottom"/>
          </w:tcPr>
          <w:p>
            <w:pPr>
              <w:spacing w:after="0"/>
              <w:rPr>
                <w:sz w:val="1"/>
                <w:szCs w:val="1"/>
                <w:color w:val="auto"/>
              </w:rPr>
            </w:pPr>
          </w:p>
        </w:tc>
      </w:tr>
      <w:tr>
        <w:trPr>
          <w:trHeight w:val="266"/>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14.</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Principal Accountant Fees and Services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0" w:type="dxa"/>
            <w:vAlign w:val="bottom"/>
          </w:tcPr>
          <w:p>
            <w:pPr>
              <w:spacing w:after="0"/>
              <w:rPr>
                <w:sz w:val="1"/>
                <w:szCs w:val="1"/>
                <w:color w:val="auto"/>
              </w:rPr>
            </w:pPr>
          </w:p>
        </w:tc>
      </w:tr>
      <w:tr>
        <w:trPr>
          <w:trHeight w:val="469"/>
        </w:trPr>
        <w:tc>
          <w:tcPr>
            <w:tcW w:w="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7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15.</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Exhibits and Financial Statement Schedules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0" w:type="dxa"/>
            <w:vAlign w:val="bottom"/>
          </w:tcPr>
          <w:p>
            <w:pPr>
              <w:spacing w:after="0"/>
              <w:rPr>
                <w:sz w:val="1"/>
                <w:szCs w:val="1"/>
                <w:color w:val="auto"/>
              </w:rPr>
            </w:pPr>
          </w:p>
        </w:tc>
      </w:tr>
      <w:tr>
        <w:trPr>
          <w:trHeight w:val="266"/>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16.</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Form 10-K Summary</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-4813935</wp:posOffset>
            </wp:positionV>
            <wp:extent cx="5943600" cy="4803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extLst>
                    </a:blip>
                    <a:srcRect/>
                    <a:stretch>
                      <a:fillRect/>
                    </a:stretch>
                  </pic:blipFill>
                  <pic:spPr bwMode="auto">
                    <a:xfrm>
                      <a:off x="0" y="0"/>
                      <a:ext cx="5943600" cy="4803775"/>
                    </a:xfrm>
                    <a:prstGeom prst="rect">
                      <a:avLst/>
                    </a:prstGeom>
                    <a:noFill/>
                  </pic:spPr>
                </pic:pic>
              </a:graphicData>
            </a:graphic>
          </wp:anchor>
        </w:drawing>
      </w:r>
    </w:p>
    <w:p>
      <w:pPr>
        <w:sectPr>
          <w:pgSz w:w="12240" w:h="15840" w:orient="portrait"/>
          <w:cols w:equalWidth="0" w:num="1">
            <w:col w:w="9540"/>
          </w:cols>
          <w:pgMar w:left="1260" w:top="1236" w:right="1440" w:bottom="4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9540"/>
          </w:cols>
          <w:pgMar w:left="1260" w:top="1236" w:right="1440" w:bottom="424" w:gutter="0" w:footer="0" w:header="0"/>
          <w:type w:val="continuous"/>
        </w:sectPr>
      </w:pPr>
    </w:p>
    <w:bookmarkStart w:id="2" w:name="page3"/>
    <w:bookmarkEnd w:id="2"/>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80" w:lineRule="exact"/>
        <w:rPr>
          <w:sz w:val="20"/>
          <w:szCs w:val="20"/>
          <w:color w:val="auto"/>
        </w:rPr>
      </w:pPr>
    </w:p>
    <w:p>
      <w:pPr>
        <w:ind w:right="200" w:firstLine="490"/>
        <w:spacing w:after="0" w:line="243" w:lineRule="auto"/>
        <w:rPr>
          <w:sz w:val="20"/>
          <w:szCs w:val="20"/>
          <w:color w:val="auto"/>
        </w:rPr>
      </w:pPr>
      <w:r>
        <w:rPr>
          <w:rFonts w:ascii="Times New Roman" w:cs="Times New Roman" w:eastAsia="Times New Roman" w:hAnsi="Times New Roman"/>
          <w:sz w:val="20"/>
          <w:szCs w:val="20"/>
          <w:color w:val="auto"/>
        </w:rPr>
        <w:t>This Annual Report on Form 10-K contains forward-looking statements within the meaning of the Private Securities Litigation Reform Act of 1995 about us and our industry that involve substantial risks and uncertainties. All statements contained in this Annual Report on Form 10-K other than statements of historical fact, including statements regarding our future results of operations and financial position, our business strategy and plans, and our objectives for future operations, are forward-looking statements. The terms such as “target,” “may,” “might,” “will,” “objective,” “intend,” “should,” “could,” “can,” “would,” “expect,” “believe,” “design,” “estimate,” “continue,” “predict,” “potential,” “plan,” “anticipate” or the negative of these terms, and similar expressions are intended to identify forward-looking statements. You should not rely on forward-looking statements as predictions of future events. We have based these forward-looking statements largely on our current expectations and projections about future events and trends that we believe may affect our financial condition, results of operations, business strategy, short-term and long-term business operations.</w:t>
      </w:r>
    </w:p>
    <w:p>
      <w:pPr>
        <w:spacing w:after="0" w:line="209" w:lineRule="exact"/>
        <w:rPr>
          <w:sz w:val="20"/>
          <w:szCs w:val="20"/>
          <w:color w:val="auto"/>
        </w:rPr>
      </w:pPr>
    </w:p>
    <w:p>
      <w:pPr>
        <w:ind w:right="400" w:firstLine="490"/>
        <w:spacing w:after="0" w:line="277" w:lineRule="auto"/>
        <w:rPr>
          <w:sz w:val="20"/>
          <w:szCs w:val="20"/>
          <w:color w:val="auto"/>
        </w:rPr>
      </w:pPr>
      <w:r>
        <w:rPr>
          <w:rFonts w:ascii="Times New Roman" w:cs="Times New Roman" w:eastAsia="Times New Roman" w:hAnsi="Times New Roman"/>
          <w:sz w:val="20"/>
          <w:szCs w:val="20"/>
          <w:color w:val="auto"/>
        </w:rPr>
        <w:t>These forward-looking statements are subject to a number or risks, uncertainties and assumptions, including but not limited to:</w:t>
      </w:r>
    </w:p>
    <w:p>
      <w:pPr>
        <w:spacing w:after="0" w:line="64" w:lineRule="exact"/>
        <w:rPr>
          <w:sz w:val="20"/>
          <w:szCs w:val="20"/>
          <w:color w:val="auto"/>
        </w:rPr>
      </w:pPr>
    </w:p>
    <w:p>
      <w:pPr>
        <w:ind w:left="980" w:hanging="490"/>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increase comparable restaurant sales and average unit volumes (“AUVs”);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expand in existing and new markets;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projected growth in the number of restaurants;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macroeconomic conditions and other economic factors;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compete with many other restaurants;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reliance on vendors, suppliers, and distributors;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concerns regarding food safety and food-borne illness;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food and supply costs, including the impact of inflation and tariffs;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consumer preferences and the level of acceptance of our restaurant concept in new markets;</w:t>
      </w:r>
    </w:p>
    <w:p>
      <w:pPr>
        <w:spacing w:after="0" w:line="133" w:lineRule="exact"/>
        <w:rPr>
          <w:rFonts w:ascii="Arial" w:cs="Arial" w:eastAsia="Arial" w:hAnsi="Arial"/>
          <w:sz w:val="20"/>
          <w:szCs w:val="20"/>
          <w:color w:val="auto"/>
        </w:rPr>
      </w:pPr>
    </w:p>
    <w:p>
      <w:pPr>
        <w:ind w:left="980" w:right="240" w:hanging="490"/>
        <w:spacing w:after="0" w:line="276"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minimum wage increases and mandated employee benefits that could cause a significant increase in our labor costs;</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failure of our information technology systems or the breach of our network security;</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loss of key members of our management team;</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our UP-C structure;</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governmental laws and regulations;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expand our ready-to-cook product offerings;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volatility in the price of our common stock; and</w:t>
      </w:r>
    </w:p>
    <w:p>
      <w:pPr>
        <w:spacing w:after="0" w:line="133" w:lineRule="exact"/>
        <w:rPr>
          <w:rFonts w:ascii="Arial" w:cs="Arial" w:eastAsia="Arial" w:hAnsi="Arial"/>
          <w:sz w:val="20"/>
          <w:szCs w:val="20"/>
          <w:color w:val="auto"/>
        </w:rPr>
      </w:pPr>
    </w:p>
    <w:p>
      <w:pPr>
        <w:jc w:val="both"/>
        <w:ind w:left="980" w:right="560" w:hanging="490"/>
        <w:spacing w:after="0" w:line="258"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other risk, uncertainties and factors described in Part I, Item 1A, “Risk Factors,” and Part II, Item 7, “Management’s Discussion and Analysis of Financial Condition and Results of Operations,” in this Annual Report on Form 10-K.</w:t>
      </w:r>
    </w:p>
    <w:p>
      <w:pPr>
        <w:spacing w:after="0" w:line="187" w:lineRule="exact"/>
        <w:rPr>
          <w:sz w:val="20"/>
          <w:szCs w:val="20"/>
          <w:color w:val="auto"/>
        </w:rPr>
      </w:pPr>
    </w:p>
    <w:p>
      <w:pPr>
        <w:ind w:right="240" w:firstLine="490"/>
        <w:spacing w:after="0" w:line="249" w:lineRule="auto"/>
        <w:rPr>
          <w:sz w:val="20"/>
          <w:szCs w:val="20"/>
          <w:color w:val="auto"/>
        </w:rPr>
      </w:pPr>
      <w:r>
        <w:rPr>
          <w:rFonts w:ascii="Times New Roman" w:cs="Times New Roman" w:eastAsia="Times New Roman" w:hAnsi="Times New Roman"/>
          <w:sz w:val="20"/>
          <w:szCs w:val="20"/>
          <w:color w:val="auto"/>
        </w:rPr>
        <w:t>Moreover, we operate in a very competitive and rapidly changing environment. New risks and uncertainties emerge from time to time, and it is not possible for us to predict all risks and uncertainties that could have an impact on the forward-looking statements. The results, events, and circumstances reflected in the forward-looking statements may not be achieved or occur, and actual results, events or circumstances could differ materially from those described in the forward-looking statements.</w:t>
      </w:r>
    </w:p>
    <w:p>
      <w:pPr>
        <w:spacing w:after="0" w:line="197" w:lineRule="exact"/>
        <w:rPr>
          <w:sz w:val="20"/>
          <w:szCs w:val="20"/>
          <w:color w:val="auto"/>
        </w:rPr>
      </w:pPr>
    </w:p>
    <w:p>
      <w:pPr>
        <w:jc w:val="both"/>
        <w:ind w:right="180" w:firstLine="490"/>
        <w:spacing w:after="0" w:line="278" w:lineRule="auto"/>
        <w:rPr>
          <w:sz w:val="20"/>
          <w:szCs w:val="20"/>
          <w:color w:val="auto"/>
        </w:rPr>
      </w:pPr>
      <w:r>
        <w:rPr>
          <w:rFonts w:ascii="Times New Roman" w:cs="Times New Roman" w:eastAsia="Times New Roman" w:hAnsi="Times New Roman"/>
          <w:sz w:val="19"/>
          <w:szCs w:val="19"/>
          <w:color w:val="auto"/>
        </w:rPr>
        <w:t>In addition, statements that “we believe” and similar statements reflect our beliefs and opinions on the relevant subject. These statements are based on information available to us as of the date of this report which may be limited or incomplete. Our statements should not be read to indicate that we have conducted an exhaustive inquiry into, or</w:t>
      </w:r>
    </w:p>
    <w:p>
      <w:pPr>
        <w:sectPr>
          <w:pgSz w:w="12240" w:h="15840" w:orient="portrait"/>
          <w:cols w:equalWidth="0" w:num="1">
            <w:col w:w="9540"/>
          </w:cols>
          <w:pgMar w:left="1260" w:top="1236" w:right="1440" w:bottom="355"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540"/>
          </w:cols>
          <w:pgMar w:left="1260" w:top="1236" w:right="1440" w:bottom="355" w:gutter="0" w:footer="0" w:header="0"/>
          <w:type w:val="continuous"/>
        </w:sectPr>
      </w:pPr>
    </w:p>
    <w:bookmarkStart w:id="3" w:name="page4"/>
    <w:bookmarkEnd w:id="3"/>
    <w:p>
      <w:pPr>
        <w:ind w:right="520"/>
        <w:spacing w:after="0" w:line="277" w:lineRule="auto"/>
        <w:rPr>
          <w:sz w:val="20"/>
          <w:szCs w:val="20"/>
          <w:color w:val="auto"/>
        </w:rPr>
      </w:pPr>
      <w:r>
        <w:rPr>
          <w:rFonts w:ascii="Times New Roman" w:cs="Times New Roman" w:eastAsia="Times New Roman" w:hAnsi="Times New Roman"/>
          <w:sz w:val="20"/>
          <w:szCs w:val="20"/>
          <w:color w:val="auto"/>
        </w:rPr>
        <w:t>review of, all relevant information. These statements are inherently uncertain, and investors are cautioned not to unduly rely on these statements.</w:t>
      </w:r>
    </w:p>
    <w:p>
      <w:pPr>
        <w:spacing w:after="0" w:line="169" w:lineRule="exact"/>
        <w:rPr>
          <w:sz w:val="20"/>
          <w:szCs w:val="20"/>
          <w:color w:val="auto"/>
        </w:rPr>
      </w:pPr>
    </w:p>
    <w:p>
      <w:pPr>
        <w:ind w:right="320" w:firstLine="490"/>
        <w:spacing w:after="0" w:line="246" w:lineRule="auto"/>
        <w:rPr>
          <w:sz w:val="20"/>
          <w:szCs w:val="20"/>
          <w:color w:val="auto"/>
        </w:rPr>
      </w:pPr>
      <w:r>
        <w:rPr>
          <w:rFonts w:ascii="Times New Roman" w:cs="Times New Roman" w:eastAsia="Times New Roman" w:hAnsi="Times New Roman"/>
          <w:sz w:val="20"/>
          <w:szCs w:val="20"/>
          <w:color w:val="auto"/>
        </w:rPr>
        <w:t>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31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GENERAL INFORMATION</w:t>
      </w:r>
    </w:p>
    <w:p>
      <w:pPr>
        <w:spacing w:after="0" w:line="244"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auto"/>
        </w:rPr>
        <w:t>GEN Restaurant Group, Inc. (“GEN Inc. or the “Company”) was formed as a Delaware corporation on October 28, 2021 and is based in Cerritos, California. As the managing member of Gen Restaurant Companies, LLC (the “Operating Company”), GEN Inc. operates and controls all business and affairs of the Operating Company and its consolidated subsidiaries. Unless the context otherwise requires, references to the “Company” refer to GEN Inc., and its consolidated subsidiaries, including the Operating Company.</w:t>
      </w:r>
    </w:p>
    <w:p>
      <w:pPr>
        <w:spacing w:after="0" w:line="31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u w:val="single" w:color="auto"/>
          <w:color w:val="auto"/>
        </w:rPr>
        <w:t>Organizational Structure</w:t>
      </w:r>
    </w:p>
    <w:p>
      <w:pPr>
        <w:spacing w:after="0" w:line="244" w:lineRule="exact"/>
        <w:rPr>
          <w:sz w:val="20"/>
          <w:szCs w:val="20"/>
          <w:color w:val="auto"/>
        </w:rPr>
      </w:pPr>
    </w:p>
    <w:p>
      <w:pPr>
        <w:ind w:right="340" w:firstLine="490"/>
        <w:spacing w:after="0" w:line="252" w:lineRule="auto"/>
        <w:rPr>
          <w:sz w:val="20"/>
          <w:szCs w:val="20"/>
          <w:color w:val="auto"/>
        </w:rPr>
      </w:pPr>
      <w:r>
        <w:rPr>
          <w:rFonts w:ascii="Times New Roman" w:cs="Times New Roman" w:eastAsia="Times New Roman" w:hAnsi="Times New Roman"/>
          <w:sz w:val="20"/>
          <w:szCs w:val="20"/>
          <w:color w:val="auto"/>
        </w:rPr>
        <w:t>Upon our IPO, the entities comprising GEN Restaurant Group are consolidated as subsidiaries of GEN LLC. The historical owners of GEN Restaurant Group received membership units of GEN LLC in exchange for the ownership interests in GEN Restaurant Group. The following actions took place in connection with the closing of the IPO (collectively, the “Reorganization:):</w:t>
      </w:r>
    </w:p>
    <w:p>
      <w:pPr>
        <w:spacing w:after="0" w:line="88" w:lineRule="exact"/>
        <w:rPr>
          <w:sz w:val="20"/>
          <w:szCs w:val="20"/>
          <w:color w:val="auto"/>
        </w:rPr>
      </w:pPr>
    </w:p>
    <w:p>
      <w:pPr>
        <w:ind w:left="980" w:right="200" w:hanging="490"/>
        <w:spacing w:after="0" w:line="276"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GEN Inc. amended and restated its certificate of incorporation to, among other things, provide for Class A common stock and Class B common stock.</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GEN Inc. sold to the underwriters 4,140,000 shares of Class A common stock.</w:t>
      </w:r>
    </w:p>
    <w:p>
      <w:pPr>
        <w:spacing w:after="0" w:line="133" w:lineRule="exact"/>
        <w:rPr>
          <w:rFonts w:ascii="Arial" w:cs="Arial" w:eastAsia="Arial" w:hAnsi="Arial"/>
          <w:sz w:val="20"/>
          <w:szCs w:val="20"/>
          <w:color w:val="auto"/>
        </w:rPr>
      </w:pPr>
    </w:p>
    <w:p>
      <w:pPr>
        <w:ind w:left="980" w:right="320" w:hanging="490"/>
        <w:spacing w:after="0" w:line="276"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GEN LLC agreement was amended and restated to provide, among other things, Class A units and Class B units and appointed GEN Inc. as the managing member of GEN LLC.</w:t>
      </w:r>
    </w:p>
    <w:p>
      <w:pPr>
        <w:spacing w:after="0" w:line="64" w:lineRule="exact"/>
        <w:rPr>
          <w:rFonts w:ascii="Arial" w:cs="Arial" w:eastAsia="Arial" w:hAnsi="Arial"/>
          <w:sz w:val="20"/>
          <w:szCs w:val="20"/>
          <w:color w:val="auto"/>
        </w:rPr>
      </w:pPr>
    </w:p>
    <w:p>
      <w:pPr>
        <w:ind w:left="980" w:right="620" w:hanging="490"/>
        <w:spacing w:after="0" w:line="276"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GEN Inc. used the proceeds of the offering to acquire newly issued shares of Class A units of GEN LLC.</w:t>
      </w:r>
    </w:p>
    <w:p>
      <w:pPr>
        <w:spacing w:after="0" w:line="64" w:lineRule="exact"/>
        <w:rPr>
          <w:rFonts w:ascii="Arial" w:cs="Arial" w:eastAsia="Arial" w:hAnsi="Arial"/>
          <w:sz w:val="20"/>
          <w:szCs w:val="20"/>
          <w:color w:val="auto"/>
        </w:rPr>
      </w:pPr>
    </w:p>
    <w:p>
      <w:pPr>
        <w:ind w:left="980" w:right="180" w:hanging="490"/>
        <w:spacing w:after="0" w:line="276"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GEN LLC agreement permits the members of the GEN LLC to exchange Class B units for shares of Class A common stock on a one-for-one basis.</w:t>
      </w:r>
    </w:p>
    <w:p>
      <w:pPr>
        <w:spacing w:after="0" w:line="64" w:lineRule="exact"/>
        <w:rPr>
          <w:rFonts w:ascii="Arial" w:cs="Arial" w:eastAsia="Arial" w:hAnsi="Arial"/>
          <w:sz w:val="20"/>
          <w:szCs w:val="20"/>
          <w:color w:val="auto"/>
        </w:rPr>
      </w:pPr>
    </w:p>
    <w:p>
      <w:pPr>
        <w:ind w:left="980" w:right="220" w:hanging="490"/>
        <w:spacing w:after="0" w:line="258"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GEN Inc. entered into the Tax Receivable Agreement for the benefit of the other members of GEN LLC (not including GEN Inc.) pursuant to which GEN Inc. will pay 85% of the net cash tax savings, if any, that GEN Inc. realizes.</w:t>
      </w:r>
    </w:p>
    <w:p>
      <w:pPr>
        <w:spacing w:after="0" w:line="81" w:lineRule="exact"/>
        <w:rPr>
          <w:rFonts w:ascii="Arial" w:cs="Arial" w:eastAsia="Arial" w:hAnsi="Arial"/>
          <w:sz w:val="20"/>
          <w:szCs w:val="20"/>
          <w:color w:val="auto"/>
        </w:rPr>
      </w:pPr>
    </w:p>
    <w:p>
      <w:pPr>
        <w:ind w:left="980" w:right="440" w:hanging="490"/>
        <w:spacing w:after="0" w:line="276"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We entered into a Registration Rights Agreement with the Class B stockholders to provide for certain rights and restrictions.</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540"/>
          </w:cols>
          <w:pgMar w:left="1260" w:top="1240" w:right="1440" w:bottom="355" w:gutter="0" w:footer="0" w:header="0"/>
          <w:type w:val="continuous"/>
        </w:sectPr>
      </w:pPr>
    </w:p>
    <w:bookmarkStart w:id="4" w:name="page5"/>
    <w:bookmarkEnd w:id="4"/>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Overview</w:t>
      </w:r>
    </w:p>
    <w:p>
      <w:pPr>
        <w:spacing w:after="0" w:line="124" w:lineRule="exact"/>
        <w:rPr>
          <w:sz w:val="20"/>
          <w:szCs w:val="20"/>
          <w:color w:val="auto"/>
        </w:rPr>
      </w:pPr>
    </w:p>
    <w:p>
      <w:pPr>
        <w:ind w:right="340" w:firstLine="490"/>
        <w:spacing w:after="0" w:line="243" w:lineRule="auto"/>
        <w:rPr>
          <w:sz w:val="20"/>
          <w:szCs w:val="20"/>
          <w:color w:val="auto"/>
        </w:rPr>
      </w:pPr>
      <w:r>
        <w:rPr>
          <w:rFonts w:ascii="Times New Roman" w:cs="Times New Roman" w:eastAsia="Times New Roman" w:hAnsi="Times New Roman"/>
          <w:sz w:val="20"/>
          <w:szCs w:val="20"/>
          <w:color w:val="auto"/>
        </w:rPr>
        <w:t>GEN Inc. is one of the largest Asian casual dining restaurant concepts by total revenue in the United States. During 2025, we expanded our footprint with partnerships with grocery stores to offer our ready-to-cook meals at over 800 locations, with expected expansion to 1,500 to 2,500 grocery stores in 2026. We offer an extensive menu of traditional Korean and Korean-American food, including high-quality meats, poultry, and seafood, all at a superior value. Founded in 2011 by two Korean immigrants, since the opening of our first restaurant in September 2011 we have grown to 57 company-owned restaurants, as of December 31, 2025, located in California, Arizona, Hawaii, Nevada, Texas, New York, Oregon, North Carolina, Washington, New Jersey, Florida and South Korea. Our restaurants have modern decor, lively Korean pop music playing in the background and embedded grills in the center of each table. We believe we offer our customers a unique dining experience in which guests cook the majority of the food themselves, reducing the need for chefs and servers and providing a similar customer experience across the restaurants. On February 18, 2024, the Company purchased the other 50% of GKBH and other rights and the Company now controls 100% of this equity investment, GKBH restaurant.</w:t>
      </w:r>
    </w:p>
    <w:p>
      <w:pPr>
        <w:spacing w:after="0" w:line="206" w:lineRule="exact"/>
        <w:rPr>
          <w:sz w:val="20"/>
          <w:szCs w:val="20"/>
          <w:color w:val="auto"/>
        </w:rPr>
      </w:pPr>
    </w:p>
    <w:p>
      <w:pPr>
        <w:ind w:right="260" w:firstLine="490"/>
        <w:spacing w:after="0" w:line="246" w:lineRule="auto"/>
        <w:rPr>
          <w:sz w:val="20"/>
          <w:szCs w:val="20"/>
          <w:color w:val="auto"/>
        </w:rPr>
      </w:pPr>
      <w:r>
        <w:rPr>
          <w:rFonts w:ascii="Times New Roman" w:cs="Times New Roman" w:eastAsia="Times New Roman" w:hAnsi="Times New Roman"/>
          <w:sz w:val="20"/>
          <w:szCs w:val="20"/>
          <w:color w:val="auto"/>
        </w:rPr>
        <w:t xml:space="preserve">We expect to continue growing our number of restaurants in the future. In 2022, our new restaurants have generated average Payback Periods of approximately 1.9 years, which equates to an average Return on Investment (“ROI”) of over 50%. For restaurants opened in 2023 and 2024, the average Payback Period of approximately 2.2, which equates to an average ROI of approximately 45%. </w:t>
      </w:r>
      <w:r>
        <w:rPr>
          <w:rFonts w:ascii="Times New Roman" w:cs="Times New Roman" w:eastAsia="Times New Roman" w:hAnsi="Times New Roman"/>
          <w:sz w:val="20"/>
          <w:szCs w:val="20"/>
          <w:color w:val="292929"/>
        </w:rPr>
        <w:t>Going forward, we are targeting for our new restaurant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92929"/>
        </w:rPr>
        <w:t xml:space="preserve">units a Payback Period of less than 3 years, which equates to an ROI of 33% to 40%. </w:t>
      </w:r>
      <w:r>
        <w:rPr>
          <w:rFonts w:ascii="Times New Roman" w:cs="Times New Roman" w:eastAsia="Times New Roman" w:hAnsi="Times New Roman"/>
          <w:sz w:val="20"/>
          <w:szCs w:val="20"/>
          <w:color w:val="000000"/>
        </w:rPr>
        <w:t>Restaurants range in size</w:t>
      </w:r>
      <w:r>
        <w:rPr>
          <w:rFonts w:ascii="Times New Roman" w:cs="Times New Roman" w:eastAsia="Times New Roman" w:hAnsi="Times New Roman"/>
          <w:sz w:val="20"/>
          <w:szCs w:val="20"/>
          <w:color w:val="292929"/>
        </w:rPr>
        <w:t xml:space="preserve"> </w:t>
      </w:r>
      <w:r>
        <w:rPr>
          <w:rFonts w:ascii="Times New Roman" w:cs="Times New Roman" w:eastAsia="Times New Roman" w:hAnsi="Times New Roman"/>
          <w:sz w:val="20"/>
          <w:szCs w:val="20"/>
          <w:color w:val="000000"/>
        </w:rPr>
        <w:t>from 4.7 thousand to 12 thousand square feet, and are typically located in high-activity commercial areas. “Payback Period” means the length of time, in years, required to recoup build-out costs after the restaurant’s opening date.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Strengths</w:t>
      </w:r>
    </w:p>
    <w:p>
      <w:pPr>
        <w:spacing w:after="0" w:line="138" w:lineRule="exact"/>
        <w:rPr>
          <w:sz w:val="20"/>
          <w:szCs w:val="20"/>
          <w:color w:val="auto"/>
        </w:rPr>
      </w:pPr>
    </w:p>
    <w:p>
      <w:pPr>
        <w:ind w:left="980" w:right="180" w:hanging="490"/>
        <w:spacing w:after="0" w:line="246"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Unlimited Orders at One Affordable, All-Inclusive Price. </w:t>
      </w:r>
      <w:r>
        <w:rPr>
          <w:rFonts w:ascii="Times New Roman" w:cs="Times New Roman" w:eastAsia="Times New Roman" w:hAnsi="Times New Roman"/>
          <w:sz w:val="20"/>
          <w:szCs w:val="20"/>
          <w:color w:val="auto"/>
        </w:rPr>
        <w:t>Our guests can order unlimited quantities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food for a fixed price generally ranging from $20.95 to $20.99 for lunch and $29.99 to $33.95 for dinners as of December 31, 2025, except for $35.95 for dinner at the Miracle Mile at Las Vegas, NV location and $27.95 for lunch, $33.95 for regular dinner and $37.95 for late dinner at the Manhattan, NY location. Our affordable price points make our concept accessible to multiple demographics and allow our guests to discover a variety of traditional Korean and Korean-American fusion dishes at a fixed price compared to the a la carte pricing found at other casual dining restaurants.</w:t>
      </w:r>
    </w:p>
    <w:p>
      <w:pPr>
        <w:spacing w:after="0" w:line="93" w:lineRule="exact"/>
        <w:rPr>
          <w:rFonts w:ascii="Arial" w:cs="Arial" w:eastAsia="Arial" w:hAnsi="Arial"/>
          <w:sz w:val="20"/>
          <w:szCs w:val="20"/>
          <w:color w:val="auto"/>
        </w:rPr>
      </w:pPr>
    </w:p>
    <w:p>
      <w:pPr>
        <w:ind w:left="980" w:right="200" w:hanging="490"/>
        <w:spacing w:after="0" w:line="245"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Efficient “Cook-It-Yourself” Business Model. </w:t>
      </w:r>
      <w:r>
        <w:rPr>
          <w:rFonts w:ascii="Times New Roman" w:cs="Times New Roman" w:eastAsia="Times New Roman" w:hAnsi="Times New Roman"/>
          <w:sz w:val="20"/>
          <w:szCs w:val="20"/>
          <w:color w:val="auto"/>
        </w:rPr>
        <w:t>Using our “cook-it-yourself” model, we have been able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operate our restaurants without chefs and with limited personnel needed to process orders in the kitchen. Our menu items come ready-to-serve from our suppliers, allowing us to quickly fill guest orders after a simple transfer from package to plate. This approach ensures consistent food quality across all of our restaurants and provides for more efficient operations than traditional restaurants, which in turn allows us to cater to high traffic levels. Additionally, because our guests serve as their own chefs, we believe our kitchens require a smaller percentage of our footprint than other casual dining restaurant concepts, enabling more space for guest seating.</w:t>
      </w:r>
    </w:p>
    <w:p>
      <w:pPr>
        <w:spacing w:after="0" w:line="95" w:lineRule="exact"/>
        <w:rPr>
          <w:rFonts w:ascii="Arial" w:cs="Arial" w:eastAsia="Arial" w:hAnsi="Arial"/>
          <w:sz w:val="20"/>
          <w:szCs w:val="20"/>
          <w:color w:val="auto"/>
        </w:rPr>
      </w:pPr>
    </w:p>
    <w:p>
      <w:pPr>
        <w:ind w:left="980" w:right="260" w:hanging="490"/>
        <w:spacing w:after="0" w:line="258"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Strong Supplier Network Provides Foundation for Growth. </w:t>
      </w:r>
      <w:r>
        <w:rPr>
          <w:rFonts w:ascii="Times New Roman" w:cs="Times New Roman" w:eastAsia="Times New Roman" w:hAnsi="Times New Roman"/>
          <w:sz w:val="20"/>
          <w:szCs w:val="20"/>
          <w:color w:val="auto"/>
        </w:rPr>
        <w:t>During the fourth quarter of 2023 we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entered into an agreement with Sysco Los Angeles, Inc., or Sysco, to purchase certain food products for a period of three years. We also utilize other suppliers for certain items.</w:t>
      </w:r>
    </w:p>
    <w:p>
      <w:pPr>
        <w:spacing w:after="0" w:line="81" w:lineRule="exact"/>
        <w:rPr>
          <w:rFonts w:ascii="Arial" w:cs="Arial" w:eastAsia="Arial" w:hAnsi="Arial"/>
          <w:sz w:val="20"/>
          <w:szCs w:val="20"/>
          <w:color w:val="auto"/>
        </w:rPr>
      </w:pPr>
    </w:p>
    <w:p>
      <w:pPr>
        <w:ind w:left="980" w:right="320" w:hanging="490"/>
        <w:spacing w:after="0" w:line="249"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Large Community of Loyal Enthusiasts. </w:t>
      </w:r>
      <w:r>
        <w:rPr>
          <w:rFonts w:ascii="Times New Roman" w:cs="Times New Roman" w:eastAsia="Times New Roman" w:hAnsi="Times New Roman"/>
          <w:sz w:val="20"/>
          <w:szCs w:val="20"/>
          <w:color w:val="auto"/>
        </w:rPr>
        <w:t>Based in part on our online reviews, we believe we have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attracted a passionate and loyal group of customers, including Millennial and Gen Z enthusiasts who enjoy trying new cuisine of various ethnic origins. We believe these “foodies” enjoy our diverse menu of flavorful Korean and Korean-American food, affordable prices points and differentiated dining ambience.</w:t>
      </w:r>
    </w:p>
    <w:p>
      <w:pPr>
        <w:spacing w:after="0" w:line="90" w:lineRule="exact"/>
        <w:rPr>
          <w:rFonts w:ascii="Arial" w:cs="Arial" w:eastAsia="Arial" w:hAnsi="Arial"/>
          <w:sz w:val="20"/>
          <w:szCs w:val="20"/>
          <w:color w:val="auto"/>
        </w:rPr>
      </w:pPr>
    </w:p>
    <w:p>
      <w:pPr>
        <w:ind w:left="980" w:right="980" w:hanging="490"/>
        <w:spacing w:after="0" w:line="276"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Unique Guest Experience Drives Positive Customer Ratings. </w:t>
      </w:r>
      <w:r>
        <w:rPr>
          <w:rFonts w:ascii="Times New Roman" w:cs="Times New Roman" w:eastAsia="Times New Roman" w:hAnsi="Times New Roman"/>
          <w:sz w:val="20"/>
          <w:szCs w:val="20"/>
          <w:color w:val="auto"/>
        </w:rPr>
        <w:t>Many of our guests express their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enthusiasm for our concept experience by rating and reviewing our restaurants online.</w:t>
      </w:r>
    </w:p>
    <w:p>
      <w:pPr>
        <w:sectPr>
          <w:pgSz w:w="12240" w:h="15840" w:orient="portrait"/>
          <w:cols w:equalWidth="0" w:num="1">
            <w:col w:w="9540"/>
          </w:cols>
          <w:pgMar w:left="1260" w:top="1236" w:right="1440" w:bottom="355"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540"/>
          </w:cols>
          <w:pgMar w:left="1260" w:top="1236" w:right="1440" w:bottom="355" w:gutter="0" w:footer="0" w:header="0"/>
          <w:type w:val="continuous"/>
        </w:sectPr>
      </w:pPr>
    </w:p>
    <w:bookmarkStart w:id="5" w:name="page6"/>
    <w:bookmarkEnd w:id="5"/>
    <w:p>
      <w:pPr>
        <w:ind w:left="980" w:right="320" w:hanging="490"/>
        <w:spacing w:after="0" w:line="247"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In-House Design and Fabrication Capabilities. </w:t>
      </w:r>
      <w:r>
        <w:rPr>
          <w:rFonts w:ascii="Times New Roman" w:cs="Times New Roman" w:eastAsia="Times New Roman" w:hAnsi="Times New Roman"/>
          <w:sz w:val="20"/>
          <w:szCs w:val="20"/>
          <w:color w:val="auto"/>
        </w:rPr>
        <w:t>Well-functioning ventilation systems are critical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Korean barbeque restaurant concepts due to the need to simultaneously ventilate each table. In order to ensure proper setup, many of our competitors rely on third-party contractors, who can be prohibitively expensive and require lengthy lead times. We take a different approach, designing and fabricating our ventilation systems in-house, which in turn provides us with greater control than our competition over quality, costs and lead time.</w:t>
      </w:r>
    </w:p>
    <w:p>
      <w:pPr>
        <w:spacing w:after="0" w:line="93" w:lineRule="exact"/>
        <w:rPr>
          <w:rFonts w:ascii="Arial" w:cs="Arial" w:eastAsia="Arial" w:hAnsi="Arial"/>
          <w:sz w:val="20"/>
          <w:szCs w:val="20"/>
          <w:color w:val="auto"/>
        </w:rPr>
      </w:pPr>
    </w:p>
    <w:p>
      <w:pPr>
        <w:ind w:left="980" w:right="200" w:hanging="490"/>
        <w:spacing w:after="0" w:line="276"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An Inspirational Founder-led Management Team. </w:t>
      </w:r>
      <w:r>
        <w:rPr>
          <w:rFonts w:ascii="Times New Roman" w:cs="Times New Roman" w:eastAsia="Times New Roman" w:hAnsi="Times New Roman"/>
          <w:sz w:val="20"/>
          <w:szCs w:val="20"/>
          <w:color w:val="auto"/>
        </w:rPr>
        <w:t>Our team is led by experienced and passionate senior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management who are committed to providing the highest quality service and experience for our guests.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Growth Strategies</w:t>
      </w:r>
    </w:p>
    <w:p>
      <w:pPr>
        <w:spacing w:after="0" w:line="124" w:lineRule="exact"/>
        <w:rPr>
          <w:sz w:val="20"/>
          <w:szCs w:val="20"/>
          <w:color w:val="auto"/>
        </w:rPr>
      </w:pPr>
    </w:p>
    <w:p>
      <w:pPr>
        <w:ind w:right="200" w:firstLine="490"/>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Open Additional Restaurants in New and Existing Markets. </w:t>
      </w:r>
      <w:r>
        <w:rPr>
          <w:rFonts w:ascii="Times New Roman" w:cs="Times New Roman" w:eastAsia="Times New Roman" w:hAnsi="Times New Roman"/>
          <w:sz w:val="20"/>
          <w:szCs w:val="20"/>
          <w:color w:val="auto"/>
        </w:rPr>
        <w:t>Since opening our original restaurant in Tustin,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California in 2011, we have successfully opened </w:t>
      </w:r>
      <w:r>
        <w:rPr>
          <w:rFonts w:ascii="Times New Roman" w:cs="Times New Roman" w:eastAsia="Times New Roman" w:hAnsi="Times New Roman"/>
          <w:sz w:val="20"/>
          <w:szCs w:val="20"/>
          <w:color w:val="292929"/>
        </w:rPr>
        <w:t>profitable new restaurants throughout Southern and Northern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92929"/>
        </w:rPr>
        <w:t>California, and in Arizona, Florida, Hawaii, North Carolina, New Jersey, New York, Nevada, Oregon, Texas, Washington, and South Korea. We intend to leverage our expertise opening new restaurants to expand further into new geographies with the same rigorous and thoughtful new site and restaurant build-out process that we have successfully demonstrated in the past. During 2023, we opened six restaurants in: Cerritos, California (opened on April 4, 2023), Chandler, Arizona, (opened on June 1, 2023), Fort Lauderdale, Florida (opened on June 10, 2023), Westheimer (Houston), Texas (opened on October 26,2023), Kapolei, Hawaii (opened on November 18, 2023), and Arlington, Texas (opened on December 21, 2023). In 2024, we opened six restaurants in: Dallas, Texas (opened on February 23, 2024), Seattle, Washington (opened on March 1, 2024), Jacksonville, Florida (opened on April 12, 2024), Maui, Hawaii, (opened on September 23, 2024), Pflugerville, Texas (opened on October 18, 2024) and Tigard, Oregon (opened on October 19, 2024).</w:t>
      </w:r>
    </w:p>
    <w:p>
      <w:pPr>
        <w:spacing w:after="0" w:line="206"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292929"/>
        </w:rPr>
        <w:t>During 2025, we opened 15 restaurants in: Orlando, Florida (opened on January 18, 2025), Edison, New Jersey (opened on January 23, 2025), San Antonio, Texas (opened on January 31, 2025), Austin, Texas (opened on March 12, 2025), Cary, North Carolina (opened on March 22, 2025) Kan Sushi in Austin, Texas (opened on April 1, 2025), Waco, Texas (opened on July 6, 2025) El Paso, Texas (opened on July 29, 2025) San Diego, California (opened on September 24, 2025), and six restaurants in South Korea.</w:t>
      </w:r>
    </w:p>
    <w:p>
      <w:pPr>
        <w:spacing w:after="0" w:line="197" w:lineRule="exact"/>
        <w:rPr>
          <w:sz w:val="20"/>
          <w:szCs w:val="20"/>
          <w:color w:val="auto"/>
        </w:rPr>
      </w:pPr>
    </w:p>
    <w:p>
      <w:pPr>
        <w:ind w:right="540" w:firstLine="490"/>
        <w:spacing w:after="0" w:line="277" w:lineRule="auto"/>
        <w:rPr>
          <w:sz w:val="20"/>
          <w:szCs w:val="20"/>
          <w:color w:val="auto"/>
        </w:rPr>
      </w:pPr>
      <w:r>
        <w:rPr>
          <w:rFonts w:ascii="Times New Roman" w:cs="Times New Roman" w:eastAsia="Times New Roman" w:hAnsi="Times New Roman"/>
          <w:sz w:val="20"/>
          <w:szCs w:val="20"/>
          <w:color w:val="292929"/>
        </w:rPr>
        <w:t>Subsequent to December 31, 2025, the Company has opened two restaurant in Denton, Texas and Tucson, Arizona.</w:t>
      </w:r>
    </w:p>
    <w:p>
      <w:pPr>
        <w:spacing w:after="0" w:line="169" w:lineRule="exact"/>
        <w:rPr>
          <w:sz w:val="20"/>
          <w:szCs w:val="20"/>
          <w:color w:val="auto"/>
        </w:rPr>
      </w:pPr>
    </w:p>
    <w:p>
      <w:pPr>
        <w:ind w:right="420" w:firstLine="490"/>
        <w:spacing w:after="0" w:line="277" w:lineRule="auto"/>
        <w:rPr>
          <w:sz w:val="20"/>
          <w:szCs w:val="20"/>
          <w:color w:val="auto"/>
        </w:rPr>
      </w:pPr>
      <w:r>
        <w:rPr>
          <w:rFonts w:ascii="Times New Roman" w:cs="Times New Roman" w:eastAsia="Times New Roman" w:hAnsi="Times New Roman"/>
          <w:sz w:val="20"/>
          <w:szCs w:val="20"/>
          <w:color w:val="292929"/>
        </w:rPr>
        <w:t>We have signed 18 leases for new locations as of December 31, 2025. In addition to the two restaurants we opened in January and March 2026, we currently expect to open four to eight other locations during 2026.</w:t>
      </w:r>
    </w:p>
    <w:p>
      <w:pPr>
        <w:spacing w:after="0" w:line="1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292929"/>
        </w:rPr>
        <w:t>We entered into international expansion with South Korea with six Company-owned locations openings 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92929"/>
        </w:rPr>
        <w:t>2025.</w:t>
      </w:r>
    </w:p>
    <w:p>
      <w:pPr>
        <w:spacing w:after="0" w:line="212" w:lineRule="exact"/>
        <w:rPr>
          <w:sz w:val="20"/>
          <w:szCs w:val="20"/>
          <w:color w:val="auto"/>
        </w:rPr>
      </w:pPr>
    </w:p>
    <w:p>
      <w:pPr>
        <w:ind w:right="280" w:firstLine="490"/>
        <w:spacing w:after="0" w:line="247" w:lineRule="auto"/>
        <w:rPr>
          <w:sz w:val="20"/>
          <w:szCs w:val="20"/>
          <w:color w:val="auto"/>
        </w:rPr>
      </w:pPr>
      <w:r>
        <w:rPr>
          <w:rFonts w:ascii="Times New Roman" w:cs="Times New Roman" w:eastAsia="Times New Roman" w:hAnsi="Times New Roman"/>
          <w:sz w:val="20"/>
          <w:szCs w:val="20"/>
          <w:color w:val="292929"/>
        </w:rPr>
        <w:t>During 2023, we opened six restaurants with average Net Build-Out Costs of approximately $2.1 million. During 2024, we opened six restaurants with average Net Build-Out Costs of approximately $2.2 million. Going forward, we are targeting average Net Build-Out Costs of less than $3.0 million with AUV’s ranging from $4.0 to $5.0 million for our new restaurant units, resulting in a target Payback Period of less than three years, which may vary depending on the specific market. The combination of our strong expertise in constructing new restaurants and tremendous white space opportunity positions us well to expand our concept into new markets.</w:t>
      </w:r>
    </w:p>
    <w:p>
      <w:pPr>
        <w:spacing w:after="0" w:line="200"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b w:val="1"/>
          <w:bCs w:val="1"/>
          <w:i w:val="1"/>
          <w:iCs w:val="1"/>
          <w:color w:val="292929"/>
        </w:rPr>
        <w:t xml:space="preserve">Increase Restaurant Sales and Profitability. </w:t>
      </w:r>
      <w:r>
        <w:rPr>
          <w:rFonts w:ascii="Times New Roman" w:cs="Times New Roman" w:eastAsia="Times New Roman" w:hAnsi="Times New Roman"/>
          <w:sz w:val="20"/>
          <w:szCs w:val="20"/>
          <w:color w:val="292929"/>
        </w:rPr>
        <w:t>We initiated a modest price increase near the end of the fourth quarter</w:t>
      </w:r>
      <w:r>
        <w:rPr>
          <w:rFonts w:ascii="Times New Roman" w:cs="Times New Roman" w:eastAsia="Times New Roman" w:hAnsi="Times New Roman"/>
          <w:sz w:val="20"/>
          <w:szCs w:val="20"/>
          <w:b w:val="1"/>
          <w:bCs w:val="1"/>
          <w:i w:val="1"/>
          <w:iCs w:val="1"/>
          <w:color w:val="292929"/>
        </w:rPr>
        <w:t xml:space="preserve"> </w:t>
      </w:r>
      <w:r>
        <w:rPr>
          <w:rFonts w:ascii="Times New Roman" w:cs="Times New Roman" w:eastAsia="Times New Roman" w:hAnsi="Times New Roman"/>
          <w:sz w:val="20"/>
          <w:szCs w:val="20"/>
          <w:color w:val="292929"/>
        </w:rPr>
        <w:t>of 2024 with no discernable change in guest behavior. We also initiated a modest price increase during February 2026 in most of our restaurants. We plan to continue to analyze and monitor price receptivity from our customers, and we believe there may be additional opportunities to implement modest price increases in the future with no material impact on customer traffic. Additionally, our strong supply chain capabilities and ability to operate with a limited number of employees have allowed us to control our costs. We continually look to invest in new technologies through rigorous testing and analyses to further improve and maintain an optimal cost structure, as well as to enhance our dining experience.</w:t>
      </w:r>
    </w:p>
    <w:p>
      <w:pPr>
        <w:sectPr>
          <w:pgSz w:w="12240" w:h="15840" w:orient="portrait"/>
          <w:cols w:equalWidth="0" w:num="1">
            <w:col w:w="9540"/>
          </w:cols>
          <w:pgMar w:left="1260" w:top="1254"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540"/>
          </w:cols>
          <w:pgMar w:left="1260" w:top="1254" w:right="1440" w:bottom="355" w:gutter="0" w:footer="0" w:header="0"/>
          <w:type w:val="continuous"/>
        </w:sectPr>
      </w:pPr>
    </w:p>
    <w:bookmarkStart w:id="6" w:name="page7"/>
    <w:bookmarkEnd w:id="6"/>
    <w:p>
      <w:pPr>
        <w:ind w:right="320"/>
        <w:spacing w:after="0" w:line="247" w:lineRule="auto"/>
        <w:rPr>
          <w:sz w:val="20"/>
          <w:szCs w:val="20"/>
          <w:color w:val="auto"/>
        </w:rPr>
      </w:pPr>
      <w:r>
        <w:rPr>
          <w:rFonts w:ascii="Times New Roman" w:cs="Times New Roman" w:eastAsia="Times New Roman" w:hAnsi="Times New Roman"/>
          <w:sz w:val="20"/>
          <w:szCs w:val="20"/>
          <w:b w:val="1"/>
          <w:bCs w:val="1"/>
          <w:i w:val="1"/>
          <w:iCs w:val="1"/>
          <w:color w:val="292929"/>
        </w:rPr>
        <w:t>Selectively Pursue Wholesale Opportunities</w:t>
      </w:r>
      <w:r>
        <w:rPr>
          <w:rFonts w:ascii="Times New Roman" w:cs="Times New Roman" w:eastAsia="Times New Roman" w:hAnsi="Times New Roman"/>
          <w:sz w:val="20"/>
          <w:szCs w:val="20"/>
          <w:i w:val="1"/>
          <w:iCs w:val="1"/>
          <w:color w:val="292929"/>
        </w:rPr>
        <w:t>.</w:t>
      </w:r>
      <w:r>
        <w:rPr>
          <w:rFonts w:ascii="Times New Roman" w:cs="Times New Roman" w:eastAsia="Times New Roman" w:hAnsi="Times New Roman"/>
          <w:sz w:val="20"/>
          <w:szCs w:val="20"/>
          <w:b w:val="1"/>
          <w:bCs w:val="1"/>
          <w:i w:val="1"/>
          <w:iCs w:val="1"/>
          <w:color w:val="292929"/>
        </w:rPr>
        <w:t xml:space="preserve"> </w:t>
      </w:r>
      <w:r>
        <w:rPr>
          <w:rFonts w:ascii="Times New Roman" w:cs="Times New Roman" w:eastAsia="Times New Roman" w:hAnsi="Times New Roman"/>
          <w:sz w:val="20"/>
          <w:szCs w:val="20"/>
          <w:color w:val="292929"/>
        </w:rPr>
        <w:t>With the favorable pricing terms we have established with our</w:t>
      </w:r>
      <w:r>
        <w:rPr>
          <w:rFonts w:ascii="Times New Roman" w:cs="Times New Roman" w:eastAsia="Times New Roman" w:hAnsi="Times New Roman"/>
          <w:sz w:val="20"/>
          <w:szCs w:val="20"/>
          <w:b w:val="1"/>
          <w:bCs w:val="1"/>
          <w:i w:val="1"/>
          <w:iCs w:val="1"/>
          <w:color w:val="292929"/>
        </w:rPr>
        <w:t xml:space="preserve"> </w:t>
      </w:r>
      <w:r>
        <w:rPr>
          <w:rFonts w:ascii="Times New Roman" w:cs="Times New Roman" w:eastAsia="Times New Roman" w:hAnsi="Times New Roman"/>
          <w:sz w:val="20"/>
          <w:szCs w:val="20"/>
          <w:color w:val="292929"/>
        </w:rPr>
        <w:t>suppliers and distributors, during the COVID-19 pandemic we were able to continue providing a limited number of guests with our high-quality meats by introducing temporary bulk purchase options in 21 of our restaurants. We have engaged with national food retailers to offer our ready-to-cook meats. The COVID-19 pandemic served as an opportunity to not only assess the viability of a wholesale segment, but also to begin exploring other new service offerings we may be able into introduce to our existing business.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Restaurant Management</w:t>
      </w:r>
    </w:p>
    <w:p>
      <w:pPr>
        <w:spacing w:after="0" w:line="124" w:lineRule="exact"/>
        <w:rPr>
          <w:sz w:val="20"/>
          <w:szCs w:val="20"/>
          <w:color w:val="auto"/>
        </w:rPr>
      </w:pPr>
    </w:p>
    <w:p>
      <w:pPr>
        <w:ind w:right="380" w:firstLine="49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Restaurant Management and Employees. </w:t>
      </w:r>
      <w:r>
        <w:rPr>
          <w:rFonts w:ascii="Times New Roman" w:cs="Times New Roman" w:eastAsia="Times New Roman" w:hAnsi="Times New Roman"/>
          <w:sz w:val="20"/>
          <w:szCs w:val="20"/>
          <w:color w:val="auto"/>
        </w:rPr>
        <w:t>As of December 31, 2025, on average, each of our restaurants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employed a total of 70 full-time and part-time employees who are managed by a general manager. The actual number of personnel that work during a given shift varies depending on the day, as well as time. During any given shift, restaurants are typically staffed with one kitchen manager, two to four hosts, four to ten servers, four to five food preparers, one to two cashiers, two to three bussers, up to seven food runners, and three to four dishwashers.</w:t>
      </w:r>
    </w:p>
    <w:p>
      <w:pPr>
        <w:spacing w:after="0" w:line="197" w:lineRule="exact"/>
        <w:rPr>
          <w:sz w:val="20"/>
          <w:szCs w:val="20"/>
          <w:color w:val="auto"/>
        </w:rPr>
      </w:pPr>
    </w:p>
    <w:p>
      <w:pPr>
        <w:ind w:right="260" w:firstLine="490"/>
        <w:spacing w:after="0" w:line="245" w:lineRule="auto"/>
        <w:rPr>
          <w:sz w:val="20"/>
          <w:szCs w:val="20"/>
          <w:color w:val="auto"/>
        </w:rPr>
      </w:pPr>
      <w:r>
        <w:rPr>
          <w:rFonts w:ascii="Times New Roman" w:cs="Times New Roman" w:eastAsia="Times New Roman" w:hAnsi="Times New Roman"/>
          <w:sz w:val="20"/>
          <w:szCs w:val="20"/>
          <w:i w:val="1"/>
          <w:iCs w:val="1"/>
          <w:color w:val="auto"/>
        </w:rPr>
        <w:t>Training and Employee Programs. T</w:t>
      </w:r>
      <w:r>
        <w:rPr>
          <w:rFonts w:ascii="Times New Roman" w:cs="Times New Roman" w:eastAsia="Times New Roman" w:hAnsi="Times New Roman"/>
          <w:sz w:val="20"/>
          <w:szCs w:val="20"/>
          <w:color w:val="auto"/>
        </w:rPr>
        <w:t>o ensure a consistent and exceptional dining experience, we have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established onboarding training programs for all of our restaurant employees. Employee training for restaurant managers typically requires approximately three to six months, while training for other restaurant employees ranges from 60 to 90 days. Our operating model, which does not require that we employ chefs or cooks, necessitates a relatively small staff primarily responsible for serving food, and leads to reduced complexity and duration of our training programs. When we staff a new restaurant that is preparing to open, we send a team of existing employees to the new restaurant to provide the training and to introduce and impart our cultural values. Our training programs for employees provide comprehensive guides specifically developed for each position.</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Suppliers</w:t>
      </w:r>
    </w:p>
    <w:p>
      <w:pPr>
        <w:spacing w:after="0" w:line="124" w:lineRule="exact"/>
        <w:rPr>
          <w:sz w:val="20"/>
          <w:szCs w:val="20"/>
          <w:color w:val="auto"/>
        </w:rPr>
      </w:pPr>
    </w:p>
    <w:p>
      <w:pPr>
        <w:ind w:right="240" w:firstLine="490"/>
        <w:spacing w:after="0" w:line="249" w:lineRule="auto"/>
        <w:rPr>
          <w:sz w:val="20"/>
          <w:szCs w:val="20"/>
          <w:color w:val="auto"/>
        </w:rPr>
      </w:pPr>
      <w:r>
        <w:rPr>
          <w:rFonts w:ascii="Times New Roman" w:cs="Times New Roman" w:eastAsia="Times New Roman" w:hAnsi="Times New Roman"/>
          <w:sz w:val="20"/>
          <w:szCs w:val="20"/>
          <w:color w:val="auto"/>
        </w:rPr>
        <w:t>We acquire certain food products and supplies from third-party vendors and suppliers, and we are dependent upon a few suppliers for certain specialized equipment utilized in our restaurants, such as the embedded grills in our tables. We do not currently have written contracts with any of these suppliers. See “Part III, Item 13, “Certain Relationships and Related Person Transactions, and Director Independence” for additional information on our relationship with suppliers controlled by certain of our affiliates..</w:t>
      </w:r>
    </w:p>
    <w:p>
      <w:pPr>
        <w:spacing w:after="0" w:line="197" w:lineRule="exact"/>
        <w:rPr>
          <w:sz w:val="20"/>
          <w:szCs w:val="20"/>
          <w:color w:val="auto"/>
        </w:rPr>
      </w:pPr>
    </w:p>
    <w:p>
      <w:pPr>
        <w:ind w:right="220" w:firstLine="490"/>
        <w:spacing w:after="0" w:line="252" w:lineRule="auto"/>
        <w:rPr>
          <w:sz w:val="20"/>
          <w:szCs w:val="20"/>
          <w:color w:val="auto"/>
        </w:rPr>
      </w:pPr>
      <w:r>
        <w:rPr>
          <w:rFonts w:ascii="Times New Roman" w:cs="Times New Roman" w:eastAsia="Times New Roman" w:hAnsi="Times New Roman"/>
          <w:sz w:val="20"/>
          <w:szCs w:val="20"/>
          <w:color w:val="auto"/>
        </w:rPr>
        <w:t xml:space="preserve">During the fourth quarter of 2023 we entered into an agreement with Sysco to purchase certain food products for a period of three years. </w:t>
      </w:r>
      <w:r>
        <w:rPr>
          <w:rFonts w:ascii="Times New Roman" w:cs="Times New Roman" w:eastAsia="Times New Roman" w:hAnsi="Times New Roman"/>
          <w:sz w:val="20"/>
          <w:szCs w:val="20"/>
          <w:color w:val="292929"/>
        </w:rPr>
        <w:t>Sysco accounted for approximately 57.4% and 76.3% of food costs for the year 2025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92929"/>
        </w:rPr>
        <w:t>2024, respectively. During the years ended December 31, 2025 and 2024, two third-party vendors accounted for 32.5% and 24.2% of total food costs, respectively.</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 Information and Systems</w:t>
      </w:r>
    </w:p>
    <w:p>
      <w:pPr>
        <w:spacing w:after="0" w:line="124" w:lineRule="exact"/>
        <w:rPr>
          <w:sz w:val="20"/>
          <w:szCs w:val="20"/>
          <w:color w:val="auto"/>
        </w:rPr>
      </w:pPr>
    </w:p>
    <w:p>
      <w:pPr>
        <w:ind w:right="260" w:firstLine="490"/>
        <w:spacing w:after="0" w:line="244" w:lineRule="auto"/>
        <w:rPr>
          <w:sz w:val="20"/>
          <w:szCs w:val="20"/>
          <w:color w:val="auto"/>
        </w:rPr>
      </w:pPr>
      <w:r>
        <w:rPr>
          <w:rFonts w:ascii="Times New Roman" w:cs="Times New Roman" w:eastAsia="Times New Roman" w:hAnsi="Times New Roman"/>
          <w:sz w:val="20"/>
          <w:szCs w:val="20"/>
          <w:color w:val="auto"/>
        </w:rPr>
        <w:t>We use Revel for our point-of-sale (POS) system, a system designed for the restaurant industry. Our Revel POS system allows us to seamlessly track and monitor our sales, food and beverage costs and inventory levels. This system is integrated with the handheld tablets our staff use to take guest orders and process payments, and it includes customizable features which provide data that allow us to better understand our guest dining preferences. We use a combination of Automatic Data Processing, Inc. and Toast, Inc. software for our payroll and human resources systems. We have partnered with Yelp to allow our guests to check-in ahead of their visits in order reduce wait times they may otherwise encounter. Since 2025, we have utilized NetSuite’s accounting system to support the continued expansion of our restaurant portfolio. We rely on all of our third-party systems and application providers to protect the information of our customers and employees.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Industry</w:t>
      </w:r>
    </w:p>
    <w:p>
      <w:pPr>
        <w:spacing w:after="0" w:line="124" w:lineRule="exact"/>
        <w:rPr>
          <w:sz w:val="20"/>
          <w:szCs w:val="20"/>
          <w:color w:val="auto"/>
        </w:rPr>
      </w:pPr>
    </w:p>
    <w:p>
      <w:pPr>
        <w:ind w:right="360" w:firstLine="490"/>
        <w:spacing w:after="0" w:line="252" w:lineRule="auto"/>
        <w:rPr>
          <w:sz w:val="20"/>
          <w:szCs w:val="20"/>
          <w:color w:val="auto"/>
        </w:rPr>
      </w:pPr>
      <w:r>
        <w:rPr>
          <w:rFonts w:ascii="Times New Roman" w:cs="Times New Roman" w:eastAsia="Times New Roman" w:hAnsi="Times New Roman"/>
          <w:sz w:val="20"/>
          <w:szCs w:val="20"/>
          <w:color w:val="auto"/>
        </w:rPr>
        <w:t>The global visibility and influence of Korean culture continues to grow across all demographics, with particularly strong engagement among Millennials and Gen Z, and is expected to drive increased demand for Korean dining experiences. In the United States, the number of Korean restaurant locations grew by 10% in 2024, with expansion across both full-service and quick-service segments, driven by rising consumer interest in flavors</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540"/>
          </w:cols>
          <w:pgMar w:left="1260" w:top="1240" w:right="1440" w:bottom="355" w:gutter="0" w:footer="0" w:header="0"/>
          <w:type w:val="continuous"/>
        </w:sectPr>
      </w:pPr>
    </w:p>
    <w:bookmarkStart w:id="7" w:name="page8"/>
    <w:bookmarkEnd w:id="7"/>
    <w:p>
      <w:pPr>
        <w:ind w:right="300"/>
        <w:spacing w:after="0" w:line="247" w:lineRule="auto"/>
        <w:rPr>
          <w:sz w:val="20"/>
          <w:szCs w:val="20"/>
          <w:color w:val="auto"/>
        </w:rPr>
      </w:pPr>
      <w:r>
        <w:rPr>
          <w:rFonts w:ascii="Times New Roman" w:cs="Times New Roman" w:eastAsia="Times New Roman" w:hAnsi="Times New Roman"/>
          <w:sz w:val="20"/>
          <w:szCs w:val="20"/>
          <w:color w:val="auto"/>
        </w:rPr>
        <w:t>that are bold, shareable, and social-media friendly. According to industry research, 450 new Korean restaurant locations opened in the U.S. since 2018, with significant concentrations in major markets like Los Angeles, San Francisco, and New York City. Other trend favorites-including Korean corn dogs, ramen, kimchi, and Korean-inspired sauces- have surged in popularity. The United States has now become the largest global market for Korean food franchises, with more than 1,100 Korean-brand outlets, a more than 100% increase over the past five year, underscoring the strong and sustained momentum of Korean culinary trends.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24" w:lineRule="exact"/>
        <w:rPr>
          <w:sz w:val="20"/>
          <w:szCs w:val="20"/>
          <w:color w:val="auto"/>
        </w:rPr>
      </w:pPr>
    </w:p>
    <w:p>
      <w:pPr>
        <w:ind w:right="200" w:firstLine="490"/>
        <w:spacing w:after="0" w:line="247" w:lineRule="auto"/>
        <w:rPr>
          <w:sz w:val="20"/>
          <w:szCs w:val="20"/>
          <w:color w:val="auto"/>
        </w:rPr>
      </w:pPr>
      <w:r>
        <w:rPr>
          <w:rFonts w:ascii="Times New Roman" w:cs="Times New Roman" w:eastAsia="Times New Roman" w:hAnsi="Times New Roman"/>
          <w:sz w:val="20"/>
          <w:szCs w:val="20"/>
          <w:color w:val="auto"/>
        </w:rPr>
        <w:t>We compete primarily with casual dining concepts in the highly competitive and fragmented restaurant industry. Our competition includes a variety of small, local restaurants, medium-sized regional restaurants, and large national chains that primarily provide dine-in service. Within the casual dining category, we believe Asian restaurants, including Korean, Chinese, Thai, Vietnamese and Japanese concepts that often specialize in specific items or preparation methods, are among the least concentrated and most fragmented. We believe there is not a casual dining concept at our scale that offers the same compelling value proposition and unique dining experience.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Resources</w:t>
      </w:r>
    </w:p>
    <w:p>
      <w:pPr>
        <w:spacing w:after="0" w:line="124" w:lineRule="exact"/>
        <w:rPr>
          <w:sz w:val="20"/>
          <w:szCs w:val="20"/>
          <w:color w:val="auto"/>
        </w:rPr>
      </w:pPr>
    </w:p>
    <w:p>
      <w:pPr>
        <w:ind w:right="200" w:firstLine="490"/>
        <w:spacing w:after="0" w:line="246" w:lineRule="auto"/>
        <w:rPr>
          <w:sz w:val="20"/>
          <w:szCs w:val="20"/>
          <w:color w:val="auto"/>
        </w:rPr>
      </w:pPr>
      <w:r>
        <w:rPr>
          <w:rFonts w:ascii="Times New Roman" w:cs="Times New Roman" w:eastAsia="Times New Roman" w:hAnsi="Times New Roman"/>
          <w:sz w:val="20"/>
          <w:szCs w:val="20"/>
          <w:color w:val="auto"/>
        </w:rPr>
        <w:t>We offer a diverse environment full of passionate and talented people. Our team members are collaborative and supportive, with a driving desire to make a distinctive mark in the restaurant industry. Our core values drive our people initiatives as they focus on mutual respect, teamwork, continuous improvement and learning, gratitude, a positive attitude, and passion to be the best in our business. We believe we attract and retain superior talent because we offer a challenging work environment with opportunities to make a difference in our company’s future. We work together as one team, with the single vision of making our company successful. Our employees are not subject to any collective bargaining agreements, and we have experienced no material work stoppages.</w:t>
      </w:r>
    </w:p>
    <w:p>
      <w:pPr>
        <w:spacing w:after="0" w:line="200" w:lineRule="exact"/>
        <w:rPr>
          <w:sz w:val="20"/>
          <w:szCs w:val="20"/>
          <w:color w:val="auto"/>
        </w:rPr>
      </w:pPr>
    </w:p>
    <w:p>
      <w:pPr>
        <w:ind w:right="300" w:firstLine="490"/>
        <w:spacing w:after="0" w:line="249" w:lineRule="auto"/>
        <w:rPr>
          <w:sz w:val="20"/>
          <w:szCs w:val="20"/>
          <w:color w:val="auto"/>
        </w:rPr>
      </w:pPr>
      <w:r>
        <w:rPr>
          <w:rFonts w:ascii="Times New Roman" w:cs="Times New Roman" w:eastAsia="Times New Roman" w:hAnsi="Times New Roman"/>
          <w:sz w:val="20"/>
          <w:szCs w:val="20"/>
          <w:color w:val="auto"/>
        </w:rPr>
        <w:t>As of December 31, 2025, we had approximately 2,700 employees. Of those 375 are employed on a full-time basis. Approximately 37% of our workforce is female and 63% is male. Our senior leadership team (Vice President level and above) is 83% male and 17% female, while manager roles are approximately 64% male and 36% female. Our existing employees typically recruit new team members, although we may use outside recruiting support in selected circumstances.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Matters</w:t>
      </w:r>
    </w:p>
    <w:p>
      <w:pPr>
        <w:spacing w:after="0" w:line="124" w:lineRule="exact"/>
        <w:rPr>
          <w:sz w:val="20"/>
          <w:szCs w:val="20"/>
          <w:color w:val="auto"/>
        </w:rPr>
      </w:pPr>
    </w:p>
    <w:p>
      <w:pPr>
        <w:ind w:right="300" w:firstLine="490"/>
        <w:spacing w:after="0" w:line="246" w:lineRule="auto"/>
        <w:rPr>
          <w:sz w:val="20"/>
          <w:szCs w:val="20"/>
          <w:color w:val="auto"/>
        </w:rPr>
      </w:pPr>
      <w:r>
        <w:rPr>
          <w:rFonts w:ascii="Times New Roman" w:cs="Times New Roman" w:eastAsia="Times New Roman" w:hAnsi="Times New Roman"/>
          <w:sz w:val="20"/>
          <w:szCs w:val="20"/>
          <w:color w:val="auto"/>
        </w:rPr>
        <w:t>We are subject to federal, state and local laws and regulations relating to environmental protection, including regulation of discharges into the air and water, storage and disposal of waste and clean-up of contaminated soil and groundwater. Under various federal, state and local laws, an owner or operator of real estate may be liable for the costs of removal or remediation of hazardous or toxic substances on, in or emanating from such property. Such liability may be imposed without regard to whether the owner or operator knew of, or was responsible for, the presence of such hazardous or toxic substances, and in some cases, we may have obligations imposed by indemnity provisions in our leases.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 and Compliance</w:t>
      </w:r>
    </w:p>
    <w:p>
      <w:pPr>
        <w:spacing w:after="0" w:line="124" w:lineRule="exact"/>
        <w:rPr>
          <w:sz w:val="20"/>
          <w:szCs w:val="20"/>
          <w:color w:val="auto"/>
        </w:rPr>
      </w:pPr>
    </w:p>
    <w:p>
      <w:pPr>
        <w:ind w:right="300" w:firstLine="490"/>
        <w:spacing w:after="0" w:line="244" w:lineRule="auto"/>
        <w:rPr>
          <w:sz w:val="20"/>
          <w:szCs w:val="20"/>
          <w:color w:val="auto"/>
        </w:rPr>
      </w:pPr>
      <w:r>
        <w:rPr>
          <w:rFonts w:ascii="Times New Roman" w:cs="Times New Roman" w:eastAsia="Times New Roman" w:hAnsi="Times New Roman"/>
          <w:sz w:val="20"/>
          <w:szCs w:val="20"/>
          <w:color w:val="auto"/>
        </w:rPr>
        <w:t>We are subject to various federal, state, and local regulations, including those relating to building and zoning requirements, public health and safety and the preparation and sale of food. The development and operation of restaurants depends to a significant extent on the selection and acquisition of suitable sites, which are subject to zoning, land use, and environmental approvals, traffic, and other regulations and requirements. Our restaurants are also subject to state and local licensing and regulation by health, sanitation, food and occupational safety, and other agencies, which regulation has increased in the wake of the COVID-19 pandemic. We may experience material difficulties or failures in obtaining the necessary licenses, approvals or permits for our restaurants, which could delay planned restaurant openings or affect the operations at our existing restaurants. In addition, stringent and varied requirements of local regulators with respect to zoning, land use, and environmental factors could delay or prevent development of new restaurants in particular locations.</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540"/>
          </w:cols>
          <w:pgMar w:left="1260" w:top="1240" w:right="1440" w:bottom="355" w:gutter="0" w:footer="0" w:header="0"/>
          <w:type w:val="continuous"/>
        </w:sectPr>
      </w:pPr>
    </w:p>
    <w:bookmarkStart w:id="8" w:name="page9"/>
    <w:bookmarkEnd w:id="8"/>
    <w:p>
      <w:pPr>
        <w:ind w:right="260" w:firstLine="490"/>
        <w:spacing w:after="0" w:line="237" w:lineRule="auto"/>
        <w:rPr>
          <w:sz w:val="20"/>
          <w:szCs w:val="20"/>
          <w:color w:val="auto"/>
        </w:rPr>
      </w:pPr>
      <w:r>
        <w:rPr>
          <w:rFonts w:ascii="Times New Roman" w:cs="Times New Roman" w:eastAsia="Times New Roman" w:hAnsi="Times New Roman"/>
          <w:sz w:val="19"/>
          <w:szCs w:val="19"/>
          <w:color w:val="auto"/>
        </w:rPr>
        <w:t>Our operations are subject to the U.S. Occupational Safety and Health Act, which governs worker health and safety, as well as rules and regulations regarding the U.S. Fair Labor Standards Act, which governs such matters as minimum wages and overtime, and a variety of similar federal, state and local laws (such as fair work week laws, immigration laws, various wage and hour laws, termination and discharge laws, and state occupational safety regulations) that govern these and other employment law matters. We may also be subject to lawsuits or investigations from our current or former employees, the U.S. Equal Employment Opportunity Commission, the Department of Labor, or others alleging violations of federal and state laws regarding workplace and employment matters, discrimination and similar matters, and we have been a party to a number of such matters in the past. These lawsuits and investigations require significant resources from our senior management and can result in material fines, penalties and/or settlements, some or all of which may not be covered by insurance, as well as significant remediation efforts that may be costly and time consuming, and which we may not implement effectively.</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06" w:lineRule="exact"/>
        <w:rPr>
          <w:sz w:val="20"/>
          <w:szCs w:val="20"/>
          <w:color w:val="auto"/>
        </w:rPr>
      </w:pPr>
    </w:p>
    <w:p>
      <w:pPr>
        <w:ind w:right="280" w:firstLine="490"/>
        <w:spacing w:after="0" w:line="230" w:lineRule="auto"/>
        <w:rPr>
          <w:sz w:val="20"/>
          <w:szCs w:val="20"/>
          <w:color w:val="auto"/>
        </w:rPr>
      </w:pPr>
      <w:r>
        <w:rPr>
          <w:rFonts w:ascii="Times New Roman" w:cs="Times New Roman" w:eastAsia="Times New Roman" w:hAnsi="Times New Roman"/>
          <w:sz w:val="20"/>
          <w:szCs w:val="20"/>
          <w:color w:val="auto"/>
        </w:rPr>
        <w:t>We protect our intellectual property primarily through a combination of trademarks, domain names, and trade secrets. We have registered trademarks in the U.S. and internationally. We will continue to pursue additional trademark registrations to the extent we believe they would be beneficial and cost-effective. Our inner restaurant décor is covered by a trademark covering our signature white, brown, blue, cyan and silver colors, our white booth seating areas with brown wood accents and glass dividers, and our blue sconces and LED lighting, among other features.</w:t>
      </w:r>
    </w:p>
    <w:p>
      <w:pPr>
        <w:spacing w:after="0" w:line="187" w:lineRule="exact"/>
        <w:rPr>
          <w:sz w:val="20"/>
          <w:szCs w:val="20"/>
          <w:color w:val="auto"/>
        </w:rPr>
      </w:pPr>
    </w:p>
    <w:p>
      <w:pPr>
        <w:jc w:val="both"/>
        <w:ind w:right="420" w:firstLine="490"/>
        <w:spacing w:after="0" w:line="239" w:lineRule="auto"/>
        <w:rPr>
          <w:sz w:val="20"/>
          <w:szCs w:val="20"/>
          <w:color w:val="auto"/>
        </w:rPr>
      </w:pPr>
      <w:r>
        <w:rPr>
          <w:rFonts w:ascii="Times New Roman" w:cs="Times New Roman" w:eastAsia="Times New Roman" w:hAnsi="Times New Roman"/>
          <w:sz w:val="20"/>
          <w:szCs w:val="20"/>
          <w:color w:val="auto"/>
        </w:rPr>
        <w:t>We have procedures in place to monitor for potential infringement of our intellectual property, and it is our policy to take appropriate action to enforce our intellectual property, taking into account the strength of our claim, likelihood of success, cost, and overall business priorities.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106" w:lineRule="exact"/>
        <w:rPr>
          <w:sz w:val="20"/>
          <w:szCs w:val="20"/>
          <w:color w:val="auto"/>
        </w:rPr>
      </w:pPr>
    </w:p>
    <w:p>
      <w:pPr>
        <w:ind w:right="180" w:firstLine="490"/>
        <w:spacing w:after="0" w:line="232" w:lineRule="auto"/>
        <w:rPr>
          <w:sz w:val="20"/>
          <w:szCs w:val="20"/>
          <w:color w:val="auto"/>
        </w:rPr>
      </w:pPr>
      <w:r>
        <w:rPr>
          <w:rFonts w:ascii="Times New Roman" w:cs="Times New Roman" w:eastAsia="Times New Roman" w:hAnsi="Times New Roman"/>
          <w:sz w:val="20"/>
          <w:szCs w:val="20"/>
          <w:color w:val="292929"/>
        </w:rPr>
        <w:t>GEN Inc. was incorporated in Delaware on October 28, 2021 as a Delaware corporation. It had no business operations prior to our initial public offering in June 2023. In connection with the consummation of our initial public offering, GEN Inc. became the managing member of GEN LLC, which owns 43 restaurants and related subsidiaries. Our principal executive offices are located at 11480 South Street Suite 205, Cerritos, CA 90703 and our telephone number is (562) 356-9929.</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92929"/>
        </w:rPr>
        <w:t>Information About our Executive Officers</w:t>
      </w:r>
    </w:p>
    <w:p>
      <w:pPr>
        <w:spacing w:after="0" w:line="226" w:lineRule="exact"/>
        <w:rPr>
          <w:sz w:val="20"/>
          <w:szCs w:val="20"/>
          <w:color w:val="auto"/>
        </w:rPr>
      </w:pPr>
    </w:p>
    <w:p>
      <w:pPr>
        <w:ind w:right="200" w:firstLine="490"/>
        <w:spacing w:after="0" w:line="239" w:lineRule="auto"/>
        <w:rPr>
          <w:sz w:val="20"/>
          <w:szCs w:val="20"/>
          <w:color w:val="auto"/>
        </w:rPr>
      </w:pPr>
      <w:r>
        <w:rPr>
          <w:rFonts w:ascii="Times New Roman" w:cs="Times New Roman" w:eastAsia="Times New Roman" w:hAnsi="Times New Roman"/>
          <w:sz w:val="20"/>
          <w:szCs w:val="20"/>
          <w:color w:val="292929"/>
        </w:rPr>
        <w:t>The following section sets forth the name, age, and business experience for the past five years of the executive officers as of the filing date of this Annual Report on Form 10-K. Unless otherwise noted, the positions described are positions with GEN Inc. or its subsidiaries.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98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Age</w:t>
            </w:r>
          </w:p>
        </w:tc>
        <w:tc>
          <w:tcPr>
            <w:tcW w:w="300" w:type="dxa"/>
            <w:vAlign w:val="bottom"/>
            <w:tcBorders>
              <w:bottom w:val="single" w:sz="8" w:color="auto"/>
            </w:tcBorders>
          </w:tcPr>
          <w:p>
            <w:pPr>
              <w:spacing w:after="0"/>
              <w:rPr>
                <w:sz w:val="21"/>
                <w:szCs w:val="21"/>
                <w:color w:val="auto"/>
              </w:rPr>
            </w:pPr>
          </w:p>
        </w:tc>
        <w:tc>
          <w:tcPr>
            <w:tcW w:w="260" w:type="dxa"/>
            <w:vAlign w:val="bottom"/>
            <w:tcBorders>
              <w:bottom w:val="single" w:sz="8" w:color="EAEAEA"/>
            </w:tcBorders>
          </w:tcPr>
          <w:p>
            <w:pPr>
              <w:spacing w:after="0"/>
              <w:rPr>
                <w:sz w:val="21"/>
                <w:szCs w:val="21"/>
                <w:color w:val="auto"/>
              </w:rPr>
            </w:pPr>
          </w:p>
        </w:tc>
        <w:tc>
          <w:tcPr>
            <w:tcW w:w="450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83"/>
        </w:trPr>
        <w:tc>
          <w:tcPr>
            <w:tcW w:w="29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David Kim</w:t>
            </w:r>
          </w:p>
        </w:tc>
        <w:tc>
          <w:tcPr>
            <w:tcW w:w="1320" w:type="dxa"/>
            <w:vAlign w:val="bottom"/>
            <w:shd w:val="clear" w:color="auto" w:fill="EAEAEA"/>
          </w:tcPr>
          <w:p>
            <w:pPr>
              <w:spacing w:after="0"/>
              <w:rPr>
                <w:sz w:val="24"/>
                <w:szCs w:val="24"/>
                <w:color w:val="auto"/>
              </w:rPr>
            </w:pPr>
          </w:p>
        </w:tc>
        <w:tc>
          <w:tcPr>
            <w:tcW w:w="3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260" w:type="dxa"/>
            <w:vAlign w:val="bottom"/>
            <w:shd w:val="clear" w:color="auto" w:fill="EAEAEA"/>
          </w:tcPr>
          <w:p>
            <w:pPr>
              <w:spacing w:after="0"/>
              <w:rPr>
                <w:sz w:val="24"/>
                <w:szCs w:val="24"/>
                <w:color w:val="auto"/>
              </w:rPr>
            </w:pPr>
          </w:p>
        </w:tc>
        <w:tc>
          <w:tcPr>
            <w:tcW w:w="45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Chief Executive Officer and Director</w:t>
            </w:r>
          </w:p>
        </w:tc>
      </w:tr>
      <w:tr>
        <w:trPr>
          <w:trHeight w:val="280"/>
        </w:trPr>
        <w:tc>
          <w:tcPr>
            <w:tcW w:w="2980" w:type="dxa"/>
            <w:vAlign w:val="bottom"/>
          </w:tcPr>
          <w:p>
            <w:pPr>
              <w:spacing w:after="0"/>
              <w:rPr>
                <w:sz w:val="20"/>
                <w:szCs w:val="20"/>
                <w:color w:val="auto"/>
              </w:rPr>
            </w:pPr>
            <w:r>
              <w:rPr>
                <w:rFonts w:ascii="Times New Roman" w:cs="Times New Roman" w:eastAsia="Times New Roman" w:hAnsi="Times New Roman"/>
                <w:sz w:val="20"/>
                <w:szCs w:val="20"/>
                <w:color w:val="auto"/>
              </w:rPr>
              <w:t>Thomas V. Croal</w:t>
            </w:r>
          </w:p>
        </w:tc>
        <w:tc>
          <w:tcPr>
            <w:tcW w:w="13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26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2948305</wp:posOffset>
            </wp:positionH>
            <wp:positionV relativeFrom="paragraph">
              <wp:posOffset>-486410</wp:posOffset>
            </wp:positionV>
            <wp:extent cx="66675" cy="812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extLst>
                    </a:blip>
                    <a:srcRect/>
                    <a:stretch>
                      <a:fillRect/>
                    </a:stretch>
                  </pic:blipFill>
                  <pic:spPr bwMode="auto">
                    <a:xfrm>
                      <a:off x="0" y="0"/>
                      <a:ext cx="66675" cy="81280"/>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-300990</wp:posOffset>
            </wp:positionV>
            <wp:extent cx="73025" cy="88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extLst>
                    </a:blip>
                    <a:srcRect/>
                    <a:stretch>
                      <a:fillRect/>
                    </a:stretch>
                  </pic:blipFill>
                  <pic:spPr bwMode="auto">
                    <a:xfrm>
                      <a:off x="0" y="0"/>
                      <a:ext cx="73025" cy="88900"/>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-121920</wp:posOffset>
            </wp:positionV>
            <wp:extent cx="73025" cy="88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extLst>
                    </a:blip>
                    <a:srcRect/>
                    <a:stretch>
                      <a:fillRect/>
                    </a:stretch>
                  </pic:blipFill>
                  <pic:spPr bwMode="auto">
                    <a:xfrm>
                      <a:off x="0" y="0"/>
                      <a:ext cx="73025" cy="88900"/>
                    </a:xfrm>
                    <a:prstGeom prst="rect">
                      <a:avLst/>
                    </a:prstGeom>
                    <a:noFill/>
                  </pic:spPr>
                </pic:pic>
              </a:graphicData>
            </a:graphic>
          </wp:anchor>
        </w:drawing>
      </w:r>
    </w:p>
    <w:p>
      <w:pPr>
        <w:spacing w:after="0" w:line="188" w:lineRule="exact"/>
        <w:rPr>
          <w:sz w:val="20"/>
          <w:szCs w:val="20"/>
          <w:color w:val="auto"/>
        </w:rPr>
      </w:pPr>
    </w:p>
    <w:p>
      <w:pPr>
        <w:ind w:right="220" w:firstLine="490"/>
        <w:spacing w:after="0" w:line="227" w:lineRule="auto"/>
        <w:rPr>
          <w:sz w:val="20"/>
          <w:szCs w:val="20"/>
          <w:color w:val="auto"/>
        </w:rPr>
      </w:pPr>
      <w:r>
        <w:rPr>
          <w:rFonts w:ascii="Times New Roman" w:cs="Times New Roman" w:eastAsia="Times New Roman" w:hAnsi="Times New Roman"/>
          <w:sz w:val="20"/>
          <w:szCs w:val="20"/>
          <w:b w:val="1"/>
          <w:bCs w:val="1"/>
          <w:i w:val="1"/>
          <w:iCs w:val="1"/>
          <w:color w:val="auto"/>
        </w:rPr>
        <w:t xml:space="preserve">David Kim. </w:t>
      </w:r>
      <w:r>
        <w:rPr>
          <w:rFonts w:ascii="Times New Roman" w:cs="Times New Roman" w:eastAsia="Times New Roman" w:hAnsi="Times New Roman"/>
          <w:sz w:val="20"/>
          <w:szCs w:val="20"/>
          <w:color w:val="auto"/>
        </w:rPr>
        <w:t>Mr. Kim joined GEN shortly after the opening of our first restaurant in 2011 and, since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formation in October 2021, he has served as our Chief Executive Officer and Director. Before founding GEN, Mr. Kim served as Chief Executive Officer of La Salsa, Inc., a fast casual Mexican restaurant chain, from July 2007 to September 2011. Mr. Kim also served as Chief Executive Officer of Baja Fresh Enterprises, another fast casual Mexican restaurant chain, from October 2006 to September 2011, and prior to that served as President of Caliber Capital Group, an equity investment firm focused on distressed companies, from 2005 to 2010. From August 2002 to September 2011, Mr. Kim was the managing member of CinnaWorks, LLC, a national owner of Cinnabon franchises, and from November 1994 to March 2016, he was the managing member of Sweet Candy, LLC, owner of the retail candy concept Sweet Factory.</w:t>
      </w:r>
    </w:p>
    <w:p>
      <w:pPr>
        <w:spacing w:after="0" w:line="202" w:lineRule="exact"/>
        <w:rPr>
          <w:sz w:val="20"/>
          <w:szCs w:val="20"/>
          <w:color w:val="auto"/>
        </w:rPr>
      </w:pPr>
    </w:p>
    <w:p>
      <w:pPr>
        <w:ind w:right="300" w:firstLine="490"/>
        <w:spacing w:after="0" w:line="252" w:lineRule="auto"/>
        <w:rPr>
          <w:sz w:val="20"/>
          <w:szCs w:val="20"/>
          <w:color w:val="auto"/>
        </w:rPr>
      </w:pPr>
      <w:r>
        <w:rPr>
          <w:rFonts w:ascii="Times New Roman" w:cs="Times New Roman" w:eastAsia="Times New Roman" w:hAnsi="Times New Roman"/>
          <w:sz w:val="20"/>
          <w:szCs w:val="20"/>
          <w:color w:val="auto"/>
        </w:rPr>
        <w:t>From November 1994 to March 2016, Mr. Kim managed Golden Den Corp. and RD Restaurant Group, Inc., which owned Denny’s, Carl’s Jr. Golden Corral and Pick-Up Stix franchises. Mr. Kim is also owner, operator, and manager of several other concepts that are not all-you-can-eat. Mr. Kim has established the Kim Family Foundation, through which he supports various charitable causes related to scholastic achievement and leadership.</w:t>
      </w:r>
    </w:p>
    <w:p>
      <w:pPr>
        <w:sectPr>
          <w:pgSz w:w="12240" w:h="15840" w:orient="portrait"/>
          <w:cols w:equalWidth="0" w:num="1">
            <w:col w:w="9540"/>
          </w:cols>
          <w:pgMar w:left="1260" w:top="1225"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540"/>
          </w:cols>
          <w:pgMar w:left="1260" w:top="1225" w:right="1440" w:bottom="355" w:gutter="0" w:footer="0" w:header="0"/>
          <w:type w:val="continuous"/>
        </w:sectPr>
      </w:pPr>
    </w:p>
    <w:bookmarkStart w:id="9" w:name="page10"/>
    <w:bookmarkEnd w:id="9"/>
    <w:p>
      <w:pPr>
        <w:ind w:right="240" w:firstLine="490"/>
        <w:spacing w:after="0" w:line="252" w:lineRule="auto"/>
        <w:rPr>
          <w:sz w:val="20"/>
          <w:szCs w:val="20"/>
          <w:color w:val="auto"/>
        </w:rPr>
      </w:pPr>
      <w:r>
        <w:rPr>
          <w:rFonts w:ascii="Times New Roman" w:cs="Times New Roman" w:eastAsia="Times New Roman" w:hAnsi="Times New Roman"/>
          <w:sz w:val="20"/>
          <w:szCs w:val="20"/>
          <w:color w:val="auto"/>
        </w:rPr>
        <w:t>Mr. Kim’s qualifications to serve on the Board include his wealth of experience with our business as co-founder and within the restaurant industry, and his demonstrated business acumen and skills in entrepreneurship and business strategy. Mr. Kim’s Board service also creates a direct, more open channel of communication between the Board and senior management.</w:t>
      </w:r>
    </w:p>
    <w:p>
      <w:pPr>
        <w:spacing w:after="0" w:line="194" w:lineRule="exact"/>
        <w:rPr>
          <w:sz w:val="20"/>
          <w:szCs w:val="20"/>
          <w:color w:val="auto"/>
        </w:rPr>
      </w:pPr>
    </w:p>
    <w:p>
      <w:pPr>
        <w:ind w:right="220" w:firstLine="490"/>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Thomas V. Croal. </w:t>
      </w:r>
      <w:r>
        <w:rPr>
          <w:rFonts w:ascii="Times New Roman" w:cs="Times New Roman" w:eastAsia="Times New Roman" w:hAnsi="Times New Roman"/>
          <w:sz w:val="20"/>
          <w:szCs w:val="20"/>
          <w:color w:val="auto"/>
        </w:rPr>
        <w:t>Mr. Croal has served as our Chief Financial Officer since July 2021. Prior to joining us,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Mr. Croal served as Chief Financial Officer of Pancreatic Cancer Action Network, a non-profit organization focused on pancreatic cancer research, from January 2019 to July 2021. Mr. Croal also served as Senior Vice President and Chief Financial Officer of Sage Publications, Inc., a global independent publisher. Mr. Croal also served as Chief Financial Officer of PPONet, Inc., a preferred provider physicians network, from September 2004 to June 2005. Mr. Croal also served as Senior Vice President and Chief Financial Officer of Silverado Senior Living Holdings, Inc., an operator of senior housing communities, from June 2007 to September 2018. Mr. Croal held various positions at Insight Health Services Corp., a healthcare service provider, including Chief Financial Officer and Chief Operating Officer, from September 1989 to March 2003. Mr. Croal was also previously a California Certified Public Accountant with Arthur Andersen &amp; Co. Mr. Croal received his Bachelor of Science in Accounting from Loyola Marymount University.</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24" w:lineRule="exact"/>
        <w:rPr>
          <w:sz w:val="20"/>
          <w:szCs w:val="20"/>
          <w:color w:val="auto"/>
        </w:rPr>
      </w:pPr>
    </w:p>
    <w:p>
      <w:pPr>
        <w:ind w:right="380" w:firstLine="490"/>
        <w:spacing w:after="0" w:line="252" w:lineRule="auto"/>
        <w:rPr>
          <w:sz w:val="20"/>
          <w:szCs w:val="20"/>
          <w:color w:val="auto"/>
        </w:rPr>
      </w:pPr>
      <w:r>
        <w:rPr>
          <w:rFonts w:ascii="Times New Roman" w:cs="Times New Roman" w:eastAsia="Times New Roman" w:hAnsi="Times New Roman"/>
          <w:sz w:val="20"/>
          <w:szCs w:val="20"/>
          <w:color w:val="auto"/>
        </w:rPr>
        <w:t>Our website is located at www.genkoreanbbq.com including an investor relations section in which we routinely post information, such as webcasts of quarterly calls and other investor events in which we participate or host, and any related materials. Information contained on our website or linked therein or otherwise connected thereto does not constitute part of and is not incorporated by reference into this Annual Report on Form 10-K.</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 Factor Summary</w:t>
      </w:r>
    </w:p>
    <w:p>
      <w:pPr>
        <w:spacing w:after="0" w:line="124"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auto"/>
        </w:rPr>
        <w:t>Our Company is subject to several risks that if realized could materially affect our business, prospects, financial condition, results of operations, cash flows and access to liquidity. Our business is subject to uncertainties and risks including:</w:t>
      </w:r>
    </w:p>
    <w:p>
      <w:pPr>
        <w:spacing w:after="0" w:line="83" w:lineRule="exact"/>
        <w:rPr>
          <w:sz w:val="20"/>
          <w:szCs w:val="20"/>
          <w:color w:val="auto"/>
        </w:rPr>
      </w:pPr>
    </w:p>
    <w:p>
      <w:pPr>
        <w:jc w:val="both"/>
        <w:ind w:left="980" w:right="460" w:hanging="490"/>
        <w:spacing w:after="0" w:line="258"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Inflationary conditions with respect to the cost for food, ingredients, labor, construction, and utilities, and we may not be able to increase prices or implement operational improvements sufficient to fully offset such costs, which may adversely impact our revenues and results of operations.</w:t>
      </w:r>
    </w:p>
    <w:p>
      <w:pPr>
        <w:spacing w:after="0" w:line="81" w:lineRule="exact"/>
        <w:rPr>
          <w:rFonts w:ascii="Arial" w:cs="Arial" w:eastAsia="Arial" w:hAnsi="Arial"/>
          <w:sz w:val="20"/>
          <w:szCs w:val="20"/>
          <w:color w:val="auto"/>
        </w:rPr>
      </w:pPr>
    </w:p>
    <w:p>
      <w:pPr>
        <w:ind w:left="980" w:right="1060" w:hanging="490"/>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global and domestic economic conditions and public health crises on consumer discretionary spending could materially adversely affect our financial performance.</w:t>
      </w:r>
    </w:p>
    <w:p>
      <w:pPr>
        <w:spacing w:after="0" w:line="64" w:lineRule="exact"/>
        <w:rPr>
          <w:rFonts w:ascii="Arial" w:cs="Arial" w:eastAsia="Arial" w:hAnsi="Arial"/>
          <w:sz w:val="20"/>
          <w:szCs w:val="20"/>
          <w:color w:val="auto"/>
        </w:rPr>
      </w:pPr>
    </w:p>
    <w:p>
      <w:pPr>
        <w:ind w:left="980" w:right="480" w:hanging="490"/>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The possible negative effects on sales of opening new restaurants in existing markets may negatively affect sales at our existing restaurants.</w:t>
      </w:r>
    </w:p>
    <w:p>
      <w:pPr>
        <w:spacing w:after="0" w:line="64" w:lineRule="exact"/>
        <w:rPr>
          <w:rFonts w:ascii="Arial" w:cs="Arial" w:eastAsia="Arial" w:hAnsi="Arial"/>
          <w:sz w:val="20"/>
          <w:szCs w:val="20"/>
          <w:color w:val="auto"/>
        </w:rPr>
      </w:pPr>
    </w:p>
    <w:p>
      <w:pPr>
        <w:ind w:left="980" w:right="260" w:hanging="490"/>
        <w:spacing w:after="0" w:line="304" w:lineRule="auto"/>
        <w:tabs>
          <w:tab w:leader="none" w:pos="980" w:val="left"/>
        </w:tabs>
        <w:numPr>
          <w:ilvl w:val="0"/>
          <w:numId w:val="7"/>
        </w:numPr>
        <w:rPr>
          <w:rFonts w:ascii="Arial" w:cs="Arial" w:eastAsia="Arial" w:hAnsi="Arial"/>
          <w:sz w:val="19"/>
          <w:szCs w:val="19"/>
          <w:color w:val="auto"/>
        </w:rPr>
      </w:pPr>
      <w:r>
        <w:rPr>
          <w:rFonts w:ascii="Times New Roman" w:cs="Times New Roman" w:eastAsia="Times New Roman" w:hAnsi="Times New Roman"/>
          <w:sz w:val="19"/>
          <w:szCs w:val="19"/>
          <w:color w:val="auto"/>
        </w:rPr>
        <w:t>New restaurants, once opened, may not be profitable, and the increases in average restaurant sales and comparable restaurant sales that we have experienced in the past may not be indicative of future results.</w:t>
      </w:r>
    </w:p>
    <w:p>
      <w:pPr>
        <w:spacing w:after="0" w:line="39" w:lineRule="exact"/>
        <w:rPr>
          <w:rFonts w:ascii="Arial" w:cs="Arial" w:eastAsia="Arial" w:hAnsi="Arial"/>
          <w:sz w:val="19"/>
          <w:szCs w:val="19"/>
          <w:color w:val="auto"/>
        </w:rPr>
      </w:pPr>
    </w:p>
    <w:p>
      <w:pPr>
        <w:ind w:left="980" w:right="680" w:hanging="490"/>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Sales and profit growth could be adversely affected if comparable restaurant sales are less than we expect.</w:t>
      </w:r>
    </w:p>
    <w:p>
      <w:pPr>
        <w:spacing w:after="0" w:line="64" w:lineRule="exact"/>
        <w:rPr>
          <w:rFonts w:ascii="Arial" w:cs="Arial" w:eastAsia="Arial" w:hAnsi="Arial"/>
          <w:sz w:val="20"/>
          <w:szCs w:val="20"/>
          <w:color w:val="auto"/>
        </w:rPr>
      </w:pPr>
    </w:p>
    <w:p>
      <w:pPr>
        <w:ind w:left="980" w:right="400" w:hanging="490"/>
        <w:spacing w:after="0" w:line="258"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manage our growth effectively, including the impact of expansion and the ongoing need for capital expenditures related to new and existing locations, could harm our business and operating results.</w:t>
      </w:r>
    </w:p>
    <w:p>
      <w:pPr>
        <w:spacing w:after="0" w:line="81" w:lineRule="exact"/>
        <w:rPr>
          <w:rFonts w:ascii="Arial" w:cs="Arial" w:eastAsia="Arial" w:hAnsi="Arial"/>
          <w:sz w:val="20"/>
          <w:szCs w:val="20"/>
          <w:color w:val="auto"/>
        </w:rPr>
      </w:pPr>
    </w:p>
    <w:p>
      <w:pPr>
        <w:ind w:left="980" w:right="520" w:hanging="490"/>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The geographically concentrated nature of our restaurant base, could result in negative effects due to conditions specific to our markets.</w:t>
      </w:r>
    </w:p>
    <w:p>
      <w:pPr>
        <w:spacing w:after="0" w:line="64" w:lineRule="exact"/>
        <w:rPr>
          <w:rFonts w:ascii="Arial" w:cs="Arial" w:eastAsia="Arial" w:hAnsi="Arial"/>
          <w:sz w:val="20"/>
          <w:szCs w:val="20"/>
          <w:color w:val="auto"/>
        </w:rPr>
      </w:pPr>
    </w:p>
    <w:p>
      <w:pPr>
        <w:jc w:val="both"/>
        <w:ind w:left="980" w:right="820" w:hanging="490"/>
        <w:spacing w:after="0" w:line="258"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Our significant reliance on certain food ingredients, supplies, and vendors and suppliers of those ingredients and supplies, our dependence on which could adversely affect our business, financial condition or results of operations.</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540"/>
          </w:cols>
          <w:pgMar w:left="1260" w:top="1240" w:right="1440" w:bottom="355" w:gutter="0" w:footer="0" w:header="0"/>
          <w:type w:val="continuous"/>
        </w:sectPr>
      </w:pPr>
    </w:p>
    <w:bookmarkStart w:id="10" w:name="page11"/>
    <w:bookmarkEnd w:id="10"/>
    <w:p>
      <w:pPr>
        <w:ind w:left="800" w:right="300" w:hanging="490"/>
        <w:spacing w:after="0" w:line="258" w:lineRule="auto"/>
        <w:tabs>
          <w:tab w:leader="none" w:pos="8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Intense competition, such that, if we are unable to continue to compete effectively in the restaurant industry in general and, in particular, within the dining segments of the restaurant industry in which we compete, our business, financial condition and results of operations would be adversely affected.</w:t>
      </w:r>
    </w:p>
    <w:p>
      <w:pPr>
        <w:spacing w:after="0" w:line="81" w:lineRule="exact"/>
        <w:rPr>
          <w:rFonts w:ascii="Arial" w:cs="Arial" w:eastAsia="Arial" w:hAnsi="Arial"/>
          <w:sz w:val="20"/>
          <w:szCs w:val="20"/>
          <w:color w:val="auto"/>
        </w:rPr>
      </w:pPr>
    </w:p>
    <w:p>
      <w:pPr>
        <w:ind w:left="800" w:right="300" w:hanging="490"/>
        <w:spacing w:after="0" w:line="276" w:lineRule="auto"/>
        <w:tabs>
          <w:tab w:leader="none" w:pos="8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Food safety and foodborne illness concerns as well as outbreaks of flu, viruses or other diseases, which could have an adverse effect on our business, financial condition or results of operations.</w:t>
      </w:r>
    </w:p>
    <w:p>
      <w:pPr>
        <w:spacing w:after="0" w:line="64" w:lineRule="exact"/>
        <w:rPr>
          <w:rFonts w:ascii="Arial" w:cs="Arial" w:eastAsia="Arial" w:hAnsi="Arial"/>
          <w:sz w:val="20"/>
          <w:szCs w:val="20"/>
          <w:color w:val="auto"/>
        </w:rPr>
      </w:pPr>
    </w:p>
    <w:p>
      <w:pPr>
        <w:ind w:left="800" w:right="240" w:hanging="490"/>
        <w:spacing w:after="0" w:line="258" w:lineRule="auto"/>
        <w:tabs>
          <w:tab w:leader="none" w:pos="8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New information or attitudes regarding diet and health, which could result in changes in regulations and consumer consumption habits that could adversely affect our business, financial condition or results of operations.</w:t>
      </w:r>
    </w:p>
    <w:p>
      <w:pPr>
        <w:spacing w:after="0" w:line="81" w:lineRule="exact"/>
        <w:rPr>
          <w:rFonts w:ascii="Arial" w:cs="Arial" w:eastAsia="Arial" w:hAnsi="Arial"/>
          <w:sz w:val="20"/>
          <w:szCs w:val="20"/>
          <w:color w:val="auto"/>
        </w:rPr>
      </w:pPr>
    </w:p>
    <w:p>
      <w:pPr>
        <w:ind w:left="800" w:right="700" w:hanging="490"/>
        <w:spacing w:after="0" w:line="276" w:lineRule="auto"/>
        <w:tabs>
          <w:tab w:leader="none" w:pos="8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reliance on the continued proper operation of our equipment, such that any mechanical failure could prevent us from effectively operating our restaurants.</w:t>
      </w:r>
    </w:p>
    <w:p>
      <w:pPr>
        <w:spacing w:after="0" w:line="64" w:lineRule="exact"/>
        <w:rPr>
          <w:rFonts w:ascii="Arial" w:cs="Arial" w:eastAsia="Arial" w:hAnsi="Arial"/>
          <w:sz w:val="20"/>
          <w:szCs w:val="20"/>
          <w:color w:val="auto"/>
        </w:rPr>
      </w:pPr>
    </w:p>
    <w:p>
      <w:pPr>
        <w:ind w:left="800" w:right="640" w:hanging="490"/>
        <w:spacing w:after="0" w:line="258" w:lineRule="auto"/>
        <w:tabs>
          <w:tab w:leader="none" w:pos="8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loss of any registered trademark or other intellectual property or our failure to maximize or successfully assert our intellectual property rights, which could enable other companies to compete more effectively with us.</w:t>
      </w:r>
    </w:p>
    <w:p>
      <w:pPr>
        <w:spacing w:after="0" w:line="81" w:lineRule="exact"/>
        <w:rPr>
          <w:rFonts w:ascii="Arial" w:cs="Arial" w:eastAsia="Arial" w:hAnsi="Arial"/>
          <w:sz w:val="20"/>
          <w:szCs w:val="20"/>
          <w:color w:val="auto"/>
        </w:rPr>
      </w:pPr>
    </w:p>
    <w:p>
      <w:pPr>
        <w:ind w:left="800" w:right="180" w:hanging="490"/>
        <w:spacing w:after="0" w:line="276" w:lineRule="auto"/>
        <w:tabs>
          <w:tab w:leader="none" w:pos="8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Negative publicity relating to one of our restaurants, which could reduce sales at some or all of our other restaurants.</w:t>
      </w:r>
    </w:p>
    <w:p>
      <w:pPr>
        <w:spacing w:after="0" w:line="64" w:lineRule="exact"/>
        <w:rPr>
          <w:rFonts w:ascii="Arial" w:cs="Arial" w:eastAsia="Arial" w:hAnsi="Arial"/>
          <w:sz w:val="20"/>
          <w:szCs w:val="20"/>
          <w:color w:val="auto"/>
        </w:rPr>
      </w:pPr>
    </w:p>
    <w:p>
      <w:pPr>
        <w:ind w:left="800" w:hanging="490"/>
        <w:spacing w:after="0"/>
        <w:tabs>
          <w:tab w:leader="none" w:pos="8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Risks associated with leasing space subject to long-term non-cancelable leases.</w:t>
      </w:r>
    </w:p>
    <w:p>
      <w:pPr>
        <w:spacing w:after="0" w:line="133" w:lineRule="exact"/>
        <w:rPr>
          <w:rFonts w:ascii="Arial" w:cs="Arial" w:eastAsia="Arial" w:hAnsi="Arial"/>
          <w:sz w:val="20"/>
          <w:szCs w:val="20"/>
          <w:color w:val="auto"/>
        </w:rPr>
      </w:pPr>
    </w:p>
    <w:p>
      <w:pPr>
        <w:ind w:left="800" w:right="480" w:hanging="490"/>
        <w:spacing w:after="0" w:line="276" w:lineRule="auto"/>
        <w:tabs>
          <w:tab w:leader="none" w:pos="8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possibility of labor shortages, increased labor costs or unionization activities, which could affect our growth, business, financial condition and operating results.</w:t>
      </w:r>
    </w:p>
    <w:p>
      <w:pPr>
        <w:spacing w:after="0" w:line="64" w:lineRule="exact"/>
        <w:rPr>
          <w:rFonts w:ascii="Arial" w:cs="Arial" w:eastAsia="Arial" w:hAnsi="Arial"/>
          <w:sz w:val="20"/>
          <w:szCs w:val="20"/>
          <w:color w:val="auto"/>
        </w:rPr>
      </w:pPr>
    </w:p>
    <w:p>
      <w:pPr>
        <w:ind w:left="800" w:right="320" w:hanging="490"/>
        <w:spacing w:after="0" w:line="258" w:lineRule="auto"/>
        <w:tabs>
          <w:tab w:leader="none" w:pos="8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comply with federal, state, and local governmental laws and regulation, including those specific to the restaurant industry may adversely affect our ability to open new restaurants or otherwise adversely affect our business, financial condition or results of operations.</w:t>
      </w:r>
    </w:p>
    <w:p>
      <w:pPr>
        <w:spacing w:after="0" w:line="81" w:lineRule="exact"/>
        <w:rPr>
          <w:rFonts w:ascii="Arial" w:cs="Arial" w:eastAsia="Arial" w:hAnsi="Arial"/>
          <w:sz w:val="20"/>
          <w:szCs w:val="20"/>
          <w:color w:val="auto"/>
        </w:rPr>
      </w:pPr>
    </w:p>
    <w:p>
      <w:pPr>
        <w:ind w:left="800" w:right="540" w:hanging="490"/>
        <w:spacing w:after="0" w:line="252" w:lineRule="auto"/>
        <w:tabs>
          <w:tab w:leader="none" w:pos="8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Litigation that could adversely affect us by distracting management, increasing our expenses or subjecting us to material monetary damages and other remedies, and that our insurance policies may provide inadequate levels of coverage against claims, resulting in negative impacts to our financial condition.</w:t>
      </w:r>
    </w:p>
    <w:p>
      <w:pPr>
        <w:spacing w:after="0" w:line="75" w:lineRule="exact"/>
        <w:rPr>
          <w:rFonts w:ascii="Arial" w:cs="Arial" w:eastAsia="Arial" w:hAnsi="Arial"/>
          <w:sz w:val="20"/>
          <w:szCs w:val="20"/>
          <w:color w:val="auto"/>
        </w:rPr>
      </w:pPr>
    </w:p>
    <w:p>
      <w:pPr>
        <w:ind w:left="800" w:right="180" w:hanging="490"/>
        <w:spacing w:after="0" w:line="263" w:lineRule="auto"/>
        <w:tabs>
          <w:tab w:leader="none" w:pos="8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Changes to accounting rules or regulations, which may adversely affect our business, financial condition or results of operations.</w:t>
      </w:r>
    </w:p>
    <w:p>
      <w:pPr>
        <w:spacing w:after="0" w:line="61" w:lineRule="exact"/>
        <w:rPr>
          <w:rFonts w:ascii="Arial" w:cs="Arial" w:eastAsia="Arial" w:hAnsi="Arial"/>
          <w:sz w:val="20"/>
          <w:szCs w:val="20"/>
          <w:color w:val="auto"/>
        </w:rPr>
      </w:pPr>
    </w:p>
    <w:p>
      <w:pPr>
        <w:ind w:left="800" w:right="240" w:hanging="490"/>
        <w:spacing w:after="0" w:line="244" w:lineRule="auto"/>
        <w:tabs>
          <w:tab w:leader="none" w:pos="8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Internal Revenue Service, (the “IRS”), might challenge the tax basis step-ups and other tax benefits we receive in connection with this offering and the related transactions and in connection with future acquisitions of GEN LLC units.</w:t>
      </w:r>
    </w:p>
    <w:p>
      <w:pPr>
        <w:spacing w:after="0" w:line="80" w:lineRule="exact"/>
        <w:rPr>
          <w:rFonts w:ascii="Arial" w:cs="Arial" w:eastAsia="Arial" w:hAnsi="Arial"/>
          <w:sz w:val="20"/>
          <w:szCs w:val="20"/>
          <w:color w:val="auto"/>
        </w:rPr>
      </w:pPr>
    </w:p>
    <w:p>
      <w:pPr>
        <w:ind w:left="800" w:right="380" w:hanging="490"/>
        <w:spacing w:after="0" w:line="263" w:lineRule="auto"/>
        <w:tabs>
          <w:tab w:leader="none" w:pos="8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GEN Inc. will be required to pay over to members of GEN LLC (other than GEN Inc.) most of the tax benefits GEN Inc. receives from tax basis step-ups (and certain other tax benefits) attributable to its</w:t>
      </w:r>
    </w:p>
    <w:p>
      <w:pPr>
        <w:sectPr>
          <w:pgSz w:w="12240" w:h="15840" w:orient="portrait"/>
          <w:cols w:equalWidth="0" w:num="1">
            <w:col w:w="9360"/>
          </w:cols>
          <w:pgMar w:left="1440" w:top="1254"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360"/>
          </w:cols>
          <w:pgMar w:left="1440" w:top="1254" w:right="1440" w:bottom="355" w:gutter="0" w:footer="0" w:header="0"/>
          <w:type w:val="continuous"/>
        </w:sectPr>
      </w:pPr>
    </w:p>
    <w:bookmarkStart w:id="11" w:name="page12"/>
    <w:bookmarkEnd w:id="11"/>
    <w:p>
      <w:pPr>
        <w:ind w:left="980" w:right="560"/>
        <w:spacing w:after="0" w:line="263" w:lineRule="auto"/>
        <w:rPr>
          <w:sz w:val="20"/>
          <w:szCs w:val="20"/>
          <w:color w:val="auto"/>
        </w:rPr>
      </w:pPr>
      <w:r>
        <w:rPr>
          <w:rFonts w:ascii="Times New Roman" w:cs="Times New Roman" w:eastAsia="Times New Roman" w:hAnsi="Times New Roman"/>
          <w:sz w:val="20"/>
          <w:szCs w:val="20"/>
          <w:color w:val="auto"/>
        </w:rPr>
        <w:t>acquisition of units of GEN LLC in the future, and the amount of those payments are expected to be substantial.</w:t>
      </w:r>
    </w:p>
    <w:p>
      <w:pPr>
        <w:spacing w:after="0" w:line="62" w:lineRule="exact"/>
        <w:rPr>
          <w:sz w:val="20"/>
          <w:szCs w:val="20"/>
          <w:color w:val="auto"/>
        </w:rPr>
      </w:pPr>
    </w:p>
    <w:p>
      <w:pPr>
        <w:ind w:left="980" w:right="320" w:hanging="490"/>
        <w:spacing w:after="0" w:line="289" w:lineRule="auto"/>
        <w:tabs>
          <w:tab w:leader="none" w:pos="980" w:val="left"/>
        </w:tabs>
        <w:numPr>
          <w:ilvl w:val="0"/>
          <w:numId w:val="9"/>
        </w:numPr>
        <w:rPr>
          <w:rFonts w:ascii="Arial" w:cs="Arial" w:eastAsia="Arial" w:hAnsi="Arial"/>
          <w:sz w:val="19"/>
          <w:szCs w:val="19"/>
          <w:color w:val="auto"/>
        </w:rPr>
      </w:pPr>
      <w:r>
        <w:rPr>
          <w:rFonts w:ascii="Times New Roman" w:cs="Times New Roman" w:eastAsia="Times New Roman" w:hAnsi="Times New Roman"/>
          <w:sz w:val="19"/>
          <w:szCs w:val="19"/>
          <w:color w:val="auto"/>
        </w:rPr>
        <w:t>In certain circumstances, GEN LLC will be required to make distributions to us and the other members of GEN LLC, and the distributions that GEN LLC will be required to make may be substantial.</w:t>
      </w:r>
    </w:p>
    <w:p>
      <w:pPr>
        <w:spacing w:after="0" w:line="39" w:lineRule="exact"/>
        <w:rPr>
          <w:rFonts w:ascii="Arial" w:cs="Arial" w:eastAsia="Arial" w:hAnsi="Arial"/>
          <w:sz w:val="19"/>
          <w:szCs w:val="19"/>
          <w:color w:val="auto"/>
        </w:rPr>
      </w:pPr>
    </w:p>
    <w:p>
      <w:pPr>
        <w:ind w:left="980" w:right="380" w:hanging="490"/>
        <w:spacing w:after="0" w:line="263" w:lineRule="auto"/>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Future changes to tax laws or our effective tax rate could materially and adversely affect our company and reduce net returns to our stockholders.</w:t>
      </w:r>
    </w:p>
    <w:p>
      <w:pPr>
        <w:spacing w:after="0" w:line="61" w:lineRule="exact"/>
        <w:rPr>
          <w:rFonts w:ascii="Arial" w:cs="Arial" w:eastAsia="Arial" w:hAnsi="Arial"/>
          <w:sz w:val="20"/>
          <w:szCs w:val="20"/>
          <w:color w:val="auto"/>
        </w:rPr>
      </w:pPr>
    </w:p>
    <w:p>
      <w:pPr>
        <w:ind w:left="980" w:right="760" w:hanging="490"/>
        <w:spacing w:after="0" w:line="263" w:lineRule="auto"/>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Our charter documents and the Delaware General Corporation Law, (“DGCL”), could discourage takeover attempts and other corporate governance changes.</w:t>
      </w:r>
    </w:p>
    <w:p>
      <w:pPr>
        <w:spacing w:after="0" w:line="61" w:lineRule="exact"/>
        <w:rPr>
          <w:rFonts w:ascii="Arial" w:cs="Arial" w:eastAsia="Arial" w:hAnsi="Arial"/>
          <w:sz w:val="20"/>
          <w:szCs w:val="20"/>
          <w:color w:val="auto"/>
        </w:rPr>
      </w:pPr>
    </w:p>
    <w:p>
      <w:pPr>
        <w:ind w:left="980" w:right="340" w:hanging="490"/>
        <w:spacing w:after="0" w:line="263" w:lineRule="auto"/>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Our amended and restated certificate of incorporation includes an exclusive forum clause, which could limit our stockholders’ ability to obtain a favorable judicial forum for disputes with us.</w:t>
      </w:r>
    </w:p>
    <w:p>
      <w:pPr>
        <w:spacing w:after="0" w:line="61" w:lineRule="exact"/>
        <w:rPr>
          <w:rFonts w:ascii="Arial" w:cs="Arial" w:eastAsia="Arial" w:hAnsi="Arial"/>
          <w:sz w:val="20"/>
          <w:szCs w:val="20"/>
          <w:color w:val="auto"/>
        </w:rPr>
      </w:pPr>
    </w:p>
    <w:p>
      <w:pPr>
        <w:ind w:left="980" w:right="180" w:hanging="490"/>
        <w:spacing w:after="0" w:line="244" w:lineRule="auto"/>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Short history operating as a publicly consolidated entity, and our status as such may strain our resources, divert our management’s attention, and affect our ability to attract and retain qualified board members, which may adversely affect operations.</w:t>
      </w:r>
    </w:p>
    <w:p>
      <w:pPr>
        <w:spacing w:after="0" w:line="80" w:lineRule="exact"/>
        <w:rPr>
          <w:rFonts w:ascii="Arial" w:cs="Arial" w:eastAsia="Arial" w:hAnsi="Arial"/>
          <w:sz w:val="20"/>
          <w:szCs w:val="20"/>
          <w:color w:val="auto"/>
        </w:rPr>
      </w:pPr>
    </w:p>
    <w:p>
      <w:pPr>
        <w:ind w:left="980" w:right="600" w:hanging="490"/>
        <w:spacing w:after="0" w:line="263" w:lineRule="auto"/>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Our current indebtedness, and any future indebtedness we may incur, may limit our operational and financing flexibility and negatively impact our business.</w:t>
      </w:r>
    </w:p>
    <w:p>
      <w:pPr>
        <w:spacing w:after="0" w:line="61" w:lineRule="exact"/>
        <w:rPr>
          <w:rFonts w:ascii="Arial" w:cs="Arial" w:eastAsia="Arial" w:hAnsi="Arial"/>
          <w:sz w:val="20"/>
          <w:szCs w:val="20"/>
          <w:color w:val="auto"/>
        </w:rPr>
      </w:pPr>
    </w:p>
    <w:p>
      <w:pPr>
        <w:ind w:left="980" w:right="500" w:hanging="490"/>
        <w:spacing w:after="0" w:line="238" w:lineRule="auto"/>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In prior years, we identified two material weaknesses in our internal control over financial reporting, which could impact our ability to produce timely, accurate and reliable financial statements could be impaired. As of December 31, 2024, management has completed remediation of these material weaknesses.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92929"/>
        </w:rPr>
        <w:t>Risks Related to Our Growth Strategy and Restaurant Expansion</w:t>
      </w:r>
    </w:p>
    <w:p>
      <w:pPr>
        <w:spacing w:after="0" w:line="110" w:lineRule="exact"/>
        <w:rPr>
          <w:sz w:val="20"/>
          <w:szCs w:val="20"/>
          <w:color w:val="auto"/>
        </w:rPr>
      </w:pPr>
    </w:p>
    <w:p>
      <w:pPr>
        <w:ind w:right="620"/>
        <w:spacing w:after="0" w:line="244" w:lineRule="auto"/>
        <w:rPr>
          <w:sz w:val="20"/>
          <w:szCs w:val="20"/>
          <w:color w:val="auto"/>
        </w:rPr>
      </w:pPr>
      <w:r>
        <w:rPr>
          <w:rFonts w:ascii="Times New Roman" w:cs="Times New Roman" w:eastAsia="Times New Roman" w:hAnsi="Times New Roman"/>
          <w:sz w:val="20"/>
          <w:szCs w:val="20"/>
          <w:b w:val="1"/>
          <w:bCs w:val="1"/>
          <w:i w:val="1"/>
          <w:iCs w:val="1"/>
          <w:color w:val="292929"/>
        </w:rPr>
        <w:t>We continue to experience inflationary conditions with respect to the cost for food, ingredients, labor, construction and utilities, and we may not be able to increase prices or implement operational improvements sufficient to fully offset such costs, which may adversely impact our revenues and results of operations</w:t>
      </w:r>
      <w:r>
        <w:rPr>
          <w:rFonts w:ascii="Times New Roman" w:cs="Times New Roman" w:eastAsia="Times New Roman" w:hAnsi="Times New Roman"/>
          <w:sz w:val="20"/>
          <w:szCs w:val="20"/>
          <w:i w:val="1"/>
          <w:iCs w:val="1"/>
          <w:color w:val="292929"/>
        </w:rPr>
        <w:t>.</w:t>
      </w:r>
    </w:p>
    <w:p>
      <w:pPr>
        <w:spacing w:after="0" w:line="67" w:lineRule="exact"/>
        <w:rPr>
          <w:sz w:val="20"/>
          <w:szCs w:val="20"/>
          <w:color w:val="auto"/>
        </w:rPr>
      </w:pPr>
    </w:p>
    <w:p>
      <w:pPr>
        <w:ind w:right="220" w:firstLine="490"/>
        <w:spacing w:after="0" w:line="228" w:lineRule="auto"/>
        <w:rPr>
          <w:sz w:val="20"/>
          <w:szCs w:val="20"/>
          <w:color w:val="auto"/>
        </w:rPr>
      </w:pPr>
      <w:r>
        <w:rPr>
          <w:rFonts w:ascii="Times New Roman" w:cs="Times New Roman" w:eastAsia="Times New Roman" w:hAnsi="Times New Roman"/>
          <w:sz w:val="20"/>
          <w:szCs w:val="20"/>
          <w:color w:val="auto"/>
        </w:rPr>
        <w:t>The strength of our revenues and results of operations are dependent upon, among other things, the price and availability of food, ingredients, labor, construction and utilities. In 2024 and 2025, the costs of commodities, labor, energy and other inputs necessary to operate our restaurants increased. Fluctuations in economic conditions, weather, demand and other factors also affect the cost of the ingredients and products that we buy. From 2024 to 2025, food costs as a percentage of sales increased from 33.0% to 34.6% and payroll and benefits costs as a percentage of sales decreased from 30.9% to 30.4%. Our inability to anticipate and respond effectively to one or more adverse changes in any of these factors could have a significant adverse effect on our results of operations. We expect the inflationary pressures and other fluctuations impacting the cost of these items to continue to impact our business through 2026. Our attempts to offset cost pressures, such as through menu price increases and operational improvements, may not be successful. We seek to provide a moderately priced product, and, as a result, we may not seek to or be able to pass along price increases to our customers sufficient to completely offset cost increases. Traffic may also be negatively impacted by menu price increases as consumers may be less willing to pay our menu prices and may increasingly visit lower-priced competitors, may reduce the frequency of their visits, or may forgo some purchases altogether. To the extent that price increases are not sufficient to offset higher costs adequately or in a timely manner, and/or if they result in signif</w:t>
      </w:r>
      <w:r>
        <w:rPr>
          <w:rFonts w:ascii="Times New Roman" w:cs="Times New Roman" w:eastAsia="Times New Roman" w:hAnsi="Times New Roman"/>
          <w:sz w:val="20"/>
          <w:szCs w:val="20"/>
          <w:color w:val="292929"/>
        </w:rPr>
        <w:t>icant decreases in revenue volume, our revenues and results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92929"/>
        </w:rPr>
        <w:t>operations may be adversely affected.</w:t>
      </w:r>
    </w:p>
    <w:p>
      <w:pPr>
        <w:spacing w:after="0" w:line="335"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b w:val="1"/>
          <w:bCs w:val="1"/>
          <w:i w:val="1"/>
          <w:iCs w:val="1"/>
          <w:color w:val="292929"/>
        </w:rPr>
        <w:t>Our long-term success is highly dependent on our ability to successfully identify and secure appropriate sites and timely develop and expand our operations in existing and new markets.</w:t>
      </w:r>
    </w:p>
    <w:p>
      <w:pPr>
        <w:spacing w:after="0" w:line="49" w:lineRule="exact"/>
        <w:rPr>
          <w:sz w:val="20"/>
          <w:szCs w:val="20"/>
          <w:color w:val="auto"/>
        </w:rPr>
      </w:pPr>
    </w:p>
    <w:p>
      <w:pPr>
        <w:ind w:right="200" w:firstLine="490"/>
        <w:spacing w:after="0" w:line="245" w:lineRule="auto"/>
        <w:rPr>
          <w:sz w:val="20"/>
          <w:szCs w:val="20"/>
          <w:color w:val="auto"/>
        </w:rPr>
      </w:pPr>
      <w:r>
        <w:rPr>
          <w:rFonts w:ascii="Times New Roman" w:cs="Times New Roman" w:eastAsia="Times New Roman" w:hAnsi="Times New Roman"/>
          <w:sz w:val="20"/>
          <w:szCs w:val="20"/>
          <w:color w:val="292929"/>
        </w:rPr>
        <w:t>One of the key means of achieving our growth strategies will be through opening and operating new restaurants on a profitable basis for the foreseeable future. We opened 15 and six new restaurants in 2025 and 2024, respectively. We identify target markets where we can enter or expand, taking into account numerous factors such as the locations of our current restaurants, demographics, traffic patterns and information gathered from various sources. We may not be able to open our planned new restaurants within budget or on a timely basis, if at all, given the uncertainty of these factors, which could adversely affect our business, financial condition and results of operations. As we operate more restaurants, our rate of expansion relative to the size of our restaurant base will eventually decline.</w:t>
      </w:r>
    </w:p>
    <w:p>
      <w:pPr>
        <w:sectPr>
          <w:pgSz w:w="12240" w:h="15840" w:orient="portrait"/>
          <w:cols w:equalWidth="0" w:num="1">
            <w:col w:w="9540"/>
          </w:cols>
          <w:pgMar w:left="1260" w:top="1229"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540"/>
          </w:cols>
          <w:pgMar w:left="1260" w:top="1229" w:right="1440" w:bottom="355" w:gutter="0" w:footer="0" w:header="0"/>
          <w:type w:val="continuous"/>
        </w:sectPr>
      </w:pPr>
    </w:p>
    <w:bookmarkStart w:id="12" w:name="page13"/>
    <w:bookmarkEnd w:id="12"/>
    <w:p>
      <w:pPr>
        <w:ind w:right="360" w:firstLine="490"/>
        <w:spacing w:after="0" w:line="277" w:lineRule="auto"/>
        <w:rPr>
          <w:sz w:val="20"/>
          <w:szCs w:val="20"/>
          <w:color w:val="auto"/>
        </w:rPr>
      </w:pPr>
      <w:r>
        <w:rPr>
          <w:rFonts w:ascii="Times New Roman" w:cs="Times New Roman" w:eastAsia="Times New Roman" w:hAnsi="Times New Roman"/>
          <w:sz w:val="20"/>
          <w:szCs w:val="20"/>
          <w:color w:val="292929"/>
        </w:rPr>
        <w:t>The number and timing of new restaurants opened during any given period may be negatively impacted by a number of factors including, without limitation:</w:t>
      </w:r>
    </w:p>
    <w:p>
      <w:pPr>
        <w:spacing w:after="0" w:line="64" w:lineRule="exact"/>
        <w:rPr>
          <w:sz w:val="20"/>
          <w:szCs w:val="20"/>
          <w:color w:val="auto"/>
        </w:rPr>
      </w:pPr>
    </w:p>
    <w:p>
      <w:pPr>
        <w:ind w:left="980" w:right="640" w:hanging="490"/>
        <w:spacing w:after="0" w:line="304" w:lineRule="auto"/>
        <w:tabs>
          <w:tab w:leader="none" w:pos="980" w:val="left"/>
        </w:tabs>
        <w:numPr>
          <w:ilvl w:val="0"/>
          <w:numId w:val="10"/>
        </w:numPr>
        <w:rPr>
          <w:rFonts w:ascii="Arial" w:cs="Arial" w:eastAsia="Arial" w:hAnsi="Arial"/>
          <w:sz w:val="19"/>
          <w:szCs w:val="19"/>
          <w:color w:val="292929"/>
        </w:rPr>
      </w:pPr>
      <w:r>
        <w:rPr>
          <w:rFonts w:ascii="Times New Roman" w:cs="Times New Roman" w:eastAsia="Times New Roman" w:hAnsi="Times New Roman"/>
          <w:sz w:val="19"/>
          <w:szCs w:val="19"/>
          <w:color w:val="292929"/>
        </w:rPr>
        <w:t>identification and availability of locations with the appropriate size, traffic patterns, local retail and business attractions and infrastructure that will drive high levels of guest traffic and sales per unit;</w:t>
      </w:r>
    </w:p>
    <w:p>
      <w:pPr>
        <w:spacing w:after="0" w:line="39" w:lineRule="exact"/>
        <w:rPr>
          <w:rFonts w:ascii="Arial" w:cs="Arial" w:eastAsia="Arial" w:hAnsi="Arial"/>
          <w:sz w:val="19"/>
          <w:szCs w:val="19"/>
          <w:color w:val="292929"/>
        </w:rPr>
      </w:pPr>
    </w:p>
    <w:p>
      <w:pPr>
        <w:ind w:left="980" w:hanging="490"/>
        <w:spacing w:after="0"/>
        <w:tabs>
          <w:tab w:leader="none" w:pos="980" w:val="left"/>
        </w:tabs>
        <w:numPr>
          <w:ilvl w:val="0"/>
          <w:numId w:val="10"/>
        </w:numPr>
        <w:rPr>
          <w:rFonts w:ascii="Arial" w:cs="Arial" w:eastAsia="Arial" w:hAnsi="Arial"/>
          <w:sz w:val="20"/>
          <w:szCs w:val="20"/>
          <w:color w:val="292929"/>
        </w:rPr>
      </w:pPr>
      <w:r>
        <w:rPr>
          <w:rFonts w:ascii="Times New Roman" w:cs="Times New Roman" w:eastAsia="Times New Roman" w:hAnsi="Times New Roman"/>
          <w:sz w:val="20"/>
          <w:szCs w:val="20"/>
          <w:color w:val="292929"/>
        </w:rPr>
        <w:t>competition in existing and new markets, including competition for restaurant sites;</w:t>
      </w:r>
    </w:p>
    <w:p>
      <w:pPr>
        <w:spacing w:after="0" w:line="133" w:lineRule="exact"/>
        <w:rPr>
          <w:rFonts w:ascii="Arial" w:cs="Arial" w:eastAsia="Arial" w:hAnsi="Arial"/>
          <w:sz w:val="20"/>
          <w:szCs w:val="20"/>
          <w:color w:val="292929"/>
        </w:rPr>
      </w:pPr>
    </w:p>
    <w:p>
      <w:pPr>
        <w:ind w:left="980" w:hanging="490"/>
        <w:spacing w:after="0"/>
        <w:tabs>
          <w:tab w:leader="none" w:pos="980" w:val="left"/>
        </w:tabs>
        <w:numPr>
          <w:ilvl w:val="0"/>
          <w:numId w:val="10"/>
        </w:numPr>
        <w:rPr>
          <w:rFonts w:ascii="Arial" w:cs="Arial" w:eastAsia="Arial" w:hAnsi="Arial"/>
          <w:sz w:val="20"/>
          <w:szCs w:val="20"/>
          <w:color w:val="292929"/>
        </w:rPr>
      </w:pPr>
      <w:r>
        <w:rPr>
          <w:rFonts w:ascii="Times New Roman" w:cs="Times New Roman" w:eastAsia="Times New Roman" w:hAnsi="Times New Roman"/>
          <w:sz w:val="20"/>
          <w:szCs w:val="20"/>
          <w:color w:val="292929"/>
        </w:rPr>
        <w:t>the ability to negotiate suitable lease terms;</w:t>
      </w:r>
    </w:p>
    <w:p>
      <w:pPr>
        <w:spacing w:after="0" w:line="133" w:lineRule="exact"/>
        <w:rPr>
          <w:rFonts w:ascii="Arial" w:cs="Arial" w:eastAsia="Arial" w:hAnsi="Arial"/>
          <w:sz w:val="20"/>
          <w:szCs w:val="20"/>
          <w:color w:val="292929"/>
        </w:rPr>
      </w:pPr>
    </w:p>
    <w:p>
      <w:pPr>
        <w:ind w:left="980" w:right="880" w:hanging="490"/>
        <w:spacing w:after="0" w:line="276" w:lineRule="auto"/>
        <w:tabs>
          <w:tab w:leader="none" w:pos="980" w:val="left"/>
        </w:tabs>
        <w:numPr>
          <w:ilvl w:val="0"/>
          <w:numId w:val="10"/>
        </w:numPr>
        <w:rPr>
          <w:rFonts w:ascii="Arial" w:cs="Arial" w:eastAsia="Arial" w:hAnsi="Arial"/>
          <w:sz w:val="20"/>
          <w:szCs w:val="20"/>
          <w:color w:val="292929"/>
        </w:rPr>
      </w:pPr>
      <w:r>
        <w:rPr>
          <w:rFonts w:ascii="Times New Roman" w:cs="Times New Roman" w:eastAsia="Times New Roman" w:hAnsi="Times New Roman"/>
          <w:sz w:val="20"/>
          <w:szCs w:val="20"/>
          <w:color w:val="292929"/>
        </w:rPr>
        <w:t>the lack of development and overall decrease in commercial real estate due to a macroeconomic downturn;</w:t>
      </w:r>
    </w:p>
    <w:p>
      <w:pPr>
        <w:spacing w:after="0" w:line="64" w:lineRule="exact"/>
        <w:rPr>
          <w:rFonts w:ascii="Arial" w:cs="Arial" w:eastAsia="Arial" w:hAnsi="Arial"/>
          <w:sz w:val="20"/>
          <w:szCs w:val="20"/>
          <w:color w:val="292929"/>
        </w:rPr>
      </w:pPr>
    </w:p>
    <w:p>
      <w:pPr>
        <w:ind w:left="980" w:hanging="490"/>
        <w:spacing w:after="0"/>
        <w:tabs>
          <w:tab w:leader="none" w:pos="980" w:val="left"/>
        </w:tabs>
        <w:numPr>
          <w:ilvl w:val="0"/>
          <w:numId w:val="10"/>
        </w:numPr>
        <w:rPr>
          <w:rFonts w:ascii="Arial" w:cs="Arial" w:eastAsia="Arial" w:hAnsi="Arial"/>
          <w:sz w:val="20"/>
          <w:szCs w:val="20"/>
          <w:color w:val="292929"/>
        </w:rPr>
      </w:pPr>
      <w:r>
        <w:rPr>
          <w:rFonts w:ascii="Times New Roman" w:cs="Times New Roman" w:eastAsia="Times New Roman" w:hAnsi="Times New Roman"/>
          <w:sz w:val="20"/>
          <w:szCs w:val="20"/>
          <w:color w:val="292929"/>
        </w:rPr>
        <w:t>recruitment and training of qualified personnel in the local market;</w:t>
      </w:r>
    </w:p>
    <w:p>
      <w:pPr>
        <w:spacing w:after="0" w:line="133" w:lineRule="exact"/>
        <w:rPr>
          <w:rFonts w:ascii="Arial" w:cs="Arial" w:eastAsia="Arial" w:hAnsi="Arial"/>
          <w:sz w:val="20"/>
          <w:szCs w:val="20"/>
          <w:color w:val="292929"/>
        </w:rPr>
      </w:pPr>
    </w:p>
    <w:p>
      <w:pPr>
        <w:ind w:left="980" w:hanging="490"/>
        <w:spacing w:after="0"/>
        <w:tabs>
          <w:tab w:leader="none" w:pos="980" w:val="left"/>
        </w:tabs>
        <w:numPr>
          <w:ilvl w:val="0"/>
          <w:numId w:val="10"/>
        </w:numPr>
        <w:rPr>
          <w:rFonts w:ascii="Arial" w:cs="Arial" w:eastAsia="Arial" w:hAnsi="Arial"/>
          <w:sz w:val="20"/>
          <w:szCs w:val="20"/>
          <w:color w:val="292929"/>
        </w:rPr>
      </w:pPr>
      <w:r>
        <w:rPr>
          <w:rFonts w:ascii="Times New Roman" w:cs="Times New Roman" w:eastAsia="Times New Roman" w:hAnsi="Times New Roman"/>
          <w:sz w:val="20"/>
          <w:szCs w:val="20"/>
          <w:color w:val="292929"/>
        </w:rPr>
        <w:t>our ability to obtain all required governmental permits, including zonal approvals, on a timely basis;</w:t>
      </w:r>
    </w:p>
    <w:p>
      <w:pPr>
        <w:spacing w:after="0" w:line="133" w:lineRule="exact"/>
        <w:rPr>
          <w:rFonts w:ascii="Arial" w:cs="Arial" w:eastAsia="Arial" w:hAnsi="Arial"/>
          <w:sz w:val="20"/>
          <w:szCs w:val="20"/>
          <w:color w:val="292929"/>
        </w:rPr>
      </w:pPr>
    </w:p>
    <w:p>
      <w:pPr>
        <w:ind w:left="980" w:hanging="490"/>
        <w:spacing w:after="0"/>
        <w:tabs>
          <w:tab w:leader="none" w:pos="980" w:val="left"/>
        </w:tabs>
        <w:numPr>
          <w:ilvl w:val="0"/>
          <w:numId w:val="10"/>
        </w:numPr>
        <w:rPr>
          <w:rFonts w:ascii="Arial" w:cs="Arial" w:eastAsia="Arial" w:hAnsi="Arial"/>
          <w:sz w:val="20"/>
          <w:szCs w:val="20"/>
          <w:color w:val="292929"/>
        </w:rPr>
      </w:pPr>
      <w:r>
        <w:rPr>
          <w:rFonts w:ascii="Times New Roman" w:cs="Times New Roman" w:eastAsia="Times New Roman" w:hAnsi="Times New Roman"/>
          <w:sz w:val="20"/>
          <w:szCs w:val="20"/>
          <w:color w:val="292929"/>
        </w:rPr>
        <w:t>our ability to control construction and development costs of new restaurants;</w:t>
      </w:r>
    </w:p>
    <w:p>
      <w:pPr>
        <w:spacing w:after="0" w:line="133" w:lineRule="exact"/>
        <w:rPr>
          <w:rFonts w:ascii="Arial" w:cs="Arial" w:eastAsia="Arial" w:hAnsi="Arial"/>
          <w:sz w:val="20"/>
          <w:szCs w:val="20"/>
          <w:color w:val="292929"/>
        </w:rPr>
      </w:pPr>
    </w:p>
    <w:p>
      <w:pPr>
        <w:ind w:left="980" w:hanging="490"/>
        <w:spacing w:after="0"/>
        <w:tabs>
          <w:tab w:leader="none" w:pos="980" w:val="left"/>
        </w:tabs>
        <w:numPr>
          <w:ilvl w:val="0"/>
          <w:numId w:val="10"/>
        </w:numPr>
        <w:rPr>
          <w:rFonts w:ascii="Arial" w:cs="Arial" w:eastAsia="Arial" w:hAnsi="Arial"/>
          <w:sz w:val="20"/>
          <w:szCs w:val="20"/>
          <w:color w:val="292929"/>
        </w:rPr>
      </w:pPr>
      <w:r>
        <w:rPr>
          <w:rFonts w:ascii="Times New Roman" w:cs="Times New Roman" w:eastAsia="Times New Roman" w:hAnsi="Times New Roman"/>
          <w:sz w:val="20"/>
          <w:szCs w:val="20"/>
          <w:color w:val="292929"/>
        </w:rPr>
        <w:t>landlord delays;</w:t>
      </w:r>
    </w:p>
    <w:p>
      <w:pPr>
        <w:spacing w:after="0" w:line="133" w:lineRule="exact"/>
        <w:rPr>
          <w:rFonts w:ascii="Arial" w:cs="Arial" w:eastAsia="Arial" w:hAnsi="Arial"/>
          <w:sz w:val="20"/>
          <w:szCs w:val="20"/>
          <w:color w:val="292929"/>
        </w:rPr>
      </w:pPr>
    </w:p>
    <w:p>
      <w:pPr>
        <w:ind w:left="980" w:right="600" w:hanging="490"/>
        <w:spacing w:after="0" w:line="276" w:lineRule="auto"/>
        <w:tabs>
          <w:tab w:leader="none" w:pos="980" w:val="left"/>
        </w:tabs>
        <w:numPr>
          <w:ilvl w:val="0"/>
          <w:numId w:val="10"/>
        </w:numPr>
        <w:rPr>
          <w:rFonts w:ascii="Arial" w:cs="Arial" w:eastAsia="Arial" w:hAnsi="Arial"/>
          <w:sz w:val="20"/>
          <w:szCs w:val="20"/>
          <w:color w:val="292929"/>
        </w:rPr>
      </w:pPr>
      <w:r>
        <w:rPr>
          <w:rFonts w:ascii="Times New Roman" w:cs="Times New Roman" w:eastAsia="Times New Roman" w:hAnsi="Times New Roman"/>
          <w:sz w:val="20"/>
          <w:szCs w:val="20"/>
          <w:color w:val="292929"/>
        </w:rPr>
        <w:t>the proximity of potential sites to an existing restaurant, and the impact of cannibalization on future growth;</w:t>
      </w:r>
    </w:p>
    <w:p>
      <w:pPr>
        <w:spacing w:after="0" w:line="64" w:lineRule="exact"/>
        <w:rPr>
          <w:rFonts w:ascii="Arial" w:cs="Arial" w:eastAsia="Arial" w:hAnsi="Arial"/>
          <w:sz w:val="20"/>
          <w:szCs w:val="20"/>
          <w:color w:val="292929"/>
        </w:rPr>
      </w:pPr>
    </w:p>
    <w:p>
      <w:pPr>
        <w:ind w:left="980" w:hanging="490"/>
        <w:spacing w:after="0"/>
        <w:tabs>
          <w:tab w:leader="none" w:pos="980" w:val="left"/>
        </w:tabs>
        <w:numPr>
          <w:ilvl w:val="0"/>
          <w:numId w:val="10"/>
        </w:numPr>
        <w:rPr>
          <w:rFonts w:ascii="Arial" w:cs="Arial" w:eastAsia="Arial" w:hAnsi="Arial"/>
          <w:sz w:val="20"/>
          <w:szCs w:val="20"/>
          <w:color w:val="292929"/>
        </w:rPr>
      </w:pPr>
      <w:r>
        <w:rPr>
          <w:rFonts w:ascii="Times New Roman" w:cs="Times New Roman" w:eastAsia="Times New Roman" w:hAnsi="Times New Roman"/>
          <w:sz w:val="20"/>
          <w:szCs w:val="20"/>
          <w:color w:val="292929"/>
        </w:rPr>
        <w:t>anticipated commercial, residential and infrastructure development near our new restaurants; and</w:t>
      </w:r>
    </w:p>
    <w:p>
      <w:pPr>
        <w:spacing w:after="0" w:line="133" w:lineRule="exact"/>
        <w:rPr>
          <w:rFonts w:ascii="Arial" w:cs="Arial" w:eastAsia="Arial" w:hAnsi="Arial"/>
          <w:sz w:val="20"/>
          <w:szCs w:val="20"/>
          <w:color w:val="292929"/>
        </w:rPr>
      </w:pPr>
    </w:p>
    <w:p>
      <w:pPr>
        <w:ind w:left="980" w:hanging="490"/>
        <w:spacing w:after="0"/>
        <w:tabs>
          <w:tab w:leader="none" w:pos="980" w:val="left"/>
        </w:tabs>
        <w:numPr>
          <w:ilvl w:val="0"/>
          <w:numId w:val="10"/>
        </w:numPr>
        <w:rPr>
          <w:rFonts w:ascii="Arial" w:cs="Arial" w:eastAsia="Arial" w:hAnsi="Arial"/>
          <w:sz w:val="20"/>
          <w:szCs w:val="20"/>
          <w:color w:val="292929"/>
        </w:rPr>
      </w:pPr>
      <w:r>
        <w:rPr>
          <w:rFonts w:ascii="Times New Roman" w:cs="Times New Roman" w:eastAsia="Times New Roman" w:hAnsi="Times New Roman"/>
          <w:sz w:val="20"/>
          <w:szCs w:val="20"/>
          <w:color w:val="292929"/>
        </w:rPr>
        <w:t>the cost and availability of capital to fund construction costs and pre-opening costs.</w:t>
      </w:r>
    </w:p>
    <w:p>
      <w:pPr>
        <w:spacing w:after="0" w:line="239" w:lineRule="exact"/>
        <w:rPr>
          <w:sz w:val="20"/>
          <w:szCs w:val="20"/>
          <w:color w:val="auto"/>
        </w:rPr>
      </w:pPr>
    </w:p>
    <w:p>
      <w:pPr>
        <w:ind w:right="240" w:firstLine="490"/>
        <w:spacing w:after="0" w:line="247" w:lineRule="auto"/>
        <w:rPr>
          <w:sz w:val="20"/>
          <w:szCs w:val="20"/>
          <w:color w:val="auto"/>
        </w:rPr>
      </w:pPr>
      <w:r>
        <w:rPr>
          <w:rFonts w:ascii="Times New Roman" w:cs="Times New Roman" w:eastAsia="Times New Roman" w:hAnsi="Times New Roman"/>
          <w:sz w:val="20"/>
          <w:szCs w:val="20"/>
          <w:color w:val="292929"/>
        </w:rPr>
        <w:t>Accordingly, we cannot assure you that we will be able to successfully expand as we may not correctly analyze the suitability of a location or anticipate all of the challenges imposed by expanding our operations. Our growth strategy, and the substantial investment associated with the development of each new restaurant, may cause our operating results to fluctuate and be unpredictable or adversely affect our business, financial condition or results of operations. If we are unable to expand in existing markets or penetrate new markets, our ability to increase our sales and profitability may be materially harmed or we may face losses.</w:t>
      </w:r>
    </w:p>
    <w:p>
      <w:pPr>
        <w:spacing w:after="0" w:line="200" w:lineRule="exact"/>
        <w:rPr>
          <w:sz w:val="20"/>
          <w:szCs w:val="20"/>
          <w:color w:val="auto"/>
        </w:rPr>
      </w:pPr>
    </w:p>
    <w:p>
      <w:pPr>
        <w:ind w:right="260" w:firstLine="490"/>
        <w:spacing w:after="0" w:line="277" w:lineRule="auto"/>
        <w:rPr>
          <w:sz w:val="20"/>
          <w:szCs w:val="20"/>
          <w:color w:val="auto"/>
        </w:rPr>
      </w:pPr>
      <w:r>
        <w:rPr>
          <w:rFonts w:ascii="Times New Roman" w:cs="Times New Roman" w:eastAsia="Times New Roman" w:hAnsi="Times New Roman"/>
          <w:sz w:val="20"/>
          <w:szCs w:val="20"/>
          <w:color w:val="292929"/>
        </w:rPr>
        <w:t>In addition, our restaurant count potential based on our current white space analysis may change in the future, or we may conduct future analyses that yield results inconsistent with our earlier analysis.</w:t>
      </w:r>
    </w:p>
    <w:p>
      <w:pPr>
        <w:spacing w:after="0" w:line="289"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20"/>
          <w:szCs w:val="20"/>
          <w:b w:val="1"/>
          <w:bCs w:val="1"/>
          <w:i w:val="1"/>
          <w:iCs w:val="1"/>
          <w:color w:val="292929"/>
        </w:rPr>
        <w:t>Our expansion into new markets may present increased risks due in part to our unfamiliarity with the areas and consumer unfamiliarity with our concept, which may make our future results unpredictable.</w:t>
      </w:r>
    </w:p>
    <w:p>
      <w:pPr>
        <w:spacing w:after="0" w:line="49" w:lineRule="exact"/>
        <w:rPr>
          <w:sz w:val="20"/>
          <w:szCs w:val="20"/>
          <w:color w:val="auto"/>
        </w:rPr>
      </w:pPr>
    </w:p>
    <w:p>
      <w:pPr>
        <w:ind w:right="220" w:firstLine="490"/>
        <w:spacing w:after="0" w:line="247" w:lineRule="auto"/>
        <w:rPr>
          <w:sz w:val="20"/>
          <w:szCs w:val="20"/>
          <w:color w:val="auto"/>
        </w:rPr>
      </w:pPr>
      <w:r>
        <w:rPr>
          <w:rFonts w:ascii="Times New Roman" w:cs="Times New Roman" w:eastAsia="Times New Roman" w:hAnsi="Times New Roman"/>
          <w:sz w:val="20"/>
          <w:szCs w:val="20"/>
          <w:color w:val="292929"/>
        </w:rPr>
        <w:t>As of December 31, 2025, we operated restaurants in eleven states: California, Arizona, Florida, Hawaii, North Carolina, New Jersey, New York, Nevada, Oregon, Texas, and Washington. We opened 15 new restaurants in 2025, including six in South Korea, and we plan to increase the number of our restaurants in the next several years as part of our expansion strategy. We may open restaurants in markets where we have limited or no operating experience, which involves significant capital investment and could cause our operating results to fluctuate unpredictably or adversely affect our business, financial condition, or results of operations.</w:t>
      </w:r>
    </w:p>
    <w:p>
      <w:pPr>
        <w:spacing w:after="0" w:line="80" w:lineRule="exact"/>
        <w:rPr>
          <w:sz w:val="20"/>
          <w:szCs w:val="20"/>
          <w:color w:val="auto"/>
        </w:rPr>
      </w:pPr>
    </w:p>
    <w:p>
      <w:pPr>
        <w:ind w:right="220" w:firstLine="490"/>
        <w:spacing w:after="0" w:line="247" w:lineRule="auto"/>
        <w:rPr>
          <w:sz w:val="20"/>
          <w:szCs w:val="20"/>
          <w:color w:val="auto"/>
        </w:rPr>
      </w:pPr>
      <w:r>
        <w:rPr>
          <w:rFonts w:ascii="Times New Roman" w:cs="Times New Roman" w:eastAsia="Times New Roman" w:hAnsi="Times New Roman"/>
          <w:sz w:val="20"/>
          <w:szCs w:val="20"/>
          <w:color w:val="292929"/>
        </w:rPr>
        <w:t>Restaurants we open in new markets may take longer to reach expected sales and profitability, may incur higher construction, occupancy, or operating costs, and may face competitive conditions, consumer preferences, and spending patterns that are more difficult to predict. We also may find it more difficult in new markets to hire, motivate and keep qualified employees who share our vision, passion and business culture. If we do not successfully execute our plans to enter new markets, our business, financial condition or results of operations could be materially adversely affected.</w:t>
      </w:r>
    </w:p>
    <w:p>
      <w:pPr>
        <w:spacing w:after="0" w:line="320" w:lineRule="exact"/>
        <w:rPr>
          <w:sz w:val="20"/>
          <w:szCs w:val="20"/>
          <w:color w:val="auto"/>
        </w:rPr>
      </w:pPr>
    </w:p>
    <w:p>
      <w:pPr>
        <w:ind w:right="640"/>
        <w:spacing w:after="0" w:line="277" w:lineRule="auto"/>
        <w:rPr>
          <w:sz w:val="20"/>
          <w:szCs w:val="20"/>
          <w:color w:val="auto"/>
        </w:rPr>
      </w:pPr>
      <w:r>
        <w:rPr>
          <w:rFonts w:ascii="Times New Roman" w:cs="Times New Roman" w:eastAsia="Times New Roman" w:hAnsi="Times New Roman"/>
          <w:sz w:val="20"/>
          <w:szCs w:val="20"/>
          <w:b w:val="1"/>
          <w:bCs w:val="1"/>
          <w:i w:val="1"/>
          <w:iCs w:val="1"/>
          <w:color w:val="292929"/>
        </w:rPr>
        <w:t>Changes in U.S. trade policy, including the imposition of tariffs and the resulting consequences, may have a material adverse impact on our business, financial condition, and results of operations.</w:t>
      </w:r>
    </w:p>
    <w:p>
      <w:pPr>
        <w:spacing w:after="0" w:line="49" w:lineRule="exact"/>
        <w:rPr>
          <w:sz w:val="20"/>
          <w:szCs w:val="20"/>
          <w:color w:val="auto"/>
        </w:rPr>
      </w:pPr>
    </w:p>
    <w:p>
      <w:pPr>
        <w:ind w:right="320" w:firstLine="490"/>
        <w:spacing w:after="0" w:line="258" w:lineRule="auto"/>
        <w:rPr>
          <w:sz w:val="20"/>
          <w:szCs w:val="20"/>
          <w:color w:val="auto"/>
        </w:rPr>
      </w:pPr>
      <w:r>
        <w:rPr>
          <w:rFonts w:ascii="Times New Roman" w:cs="Times New Roman" w:eastAsia="Times New Roman" w:hAnsi="Times New Roman"/>
          <w:sz w:val="20"/>
          <w:szCs w:val="20"/>
          <w:color w:val="292929"/>
        </w:rPr>
        <w:t>The U.S. g</w:t>
      </w:r>
      <w:r>
        <w:rPr>
          <w:rFonts w:ascii="Times New Roman" w:cs="Times New Roman" w:eastAsia="Times New Roman" w:hAnsi="Times New Roman"/>
          <w:sz w:val="20"/>
          <w:szCs w:val="20"/>
          <w:color w:val="000000"/>
        </w:rPr>
        <w:t>overnment has adopted new approaches to trade policy, and in some cases may renegotiate, or</w:t>
      </w:r>
      <w:r>
        <w:rPr>
          <w:rFonts w:ascii="Times New Roman" w:cs="Times New Roman" w:eastAsia="Times New Roman" w:hAnsi="Times New Roman"/>
          <w:sz w:val="20"/>
          <w:szCs w:val="20"/>
          <w:color w:val="292929"/>
        </w:rPr>
        <w:t xml:space="preserve"> </w:t>
      </w:r>
      <w:r>
        <w:rPr>
          <w:rFonts w:ascii="Times New Roman" w:cs="Times New Roman" w:eastAsia="Times New Roman" w:hAnsi="Times New Roman"/>
          <w:sz w:val="20"/>
          <w:szCs w:val="20"/>
          <w:color w:val="000000"/>
        </w:rPr>
        <w:t>potentially terminate, certain existing bilateral or multi-lateral trade agreements. The U.S. government has also imposed tariffs on most foreign goods and has threatened to impose significant tariff increases or expand the tariffs</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540"/>
          </w:cols>
          <w:pgMar w:left="1260" w:top="1240" w:right="1440" w:bottom="355" w:gutter="0" w:footer="0" w:header="0"/>
          <w:type w:val="continuous"/>
        </w:sectPr>
      </w:pPr>
    </w:p>
    <w:bookmarkStart w:id="13" w:name="page14"/>
    <w:bookmarkEnd w:id="13"/>
    <w:p>
      <w:pPr>
        <w:ind w:right="280"/>
        <w:spacing w:after="0" w:line="252" w:lineRule="auto"/>
        <w:rPr>
          <w:sz w:val="20"/>
          <w:szCs w:val="20"/>
          <w:color w:val="auto"/>
        </w:rPr>
      </w:pPr>
      <w:r>
        <w:rPr>
          <w:rFonts w:ascii="Times New Roman" w:cs="Times New Roman" w:eastAsia="Times New Roman" w:hAnsi="Times New Roman"/>
          <w:sz w:val="20"/>
          <w:szCs w:val="20"/>
          <w:color w:val="auto"/>
        </w:rPr>
        <w:t>to capture other countries and types of goods. Tariffs on imports from nations from whom we procure are likely to increase the difficulty and cost of our operations, and/or could require us to incur costs to transition to alternative suppliers. Future tariff increases, expanding the tariffs to cover other countries or other changes in U.S. trade policy could exacerbate these challenges.</w:t>
      </w:r>
    </w:p>
    <w:p>
      <w:pPr>
        <w:spacing w:after="0" w:line="184"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20"/>
          <w:szCs w:val="20"/>
          <w:color w:val="auto"/>
        </w:rPr>
        <w:t>Further increasing uncertainty related to trade policies, on February 20, 2026, the U.S. Supreme Court ruled against the U.S. presidential administration’s use of tariffs under the International Emergency Economic Powers Act ("IEEPA"). However, the decision creates uncertainty related to various aspects of the tariffs previously collected under the IEEPA, and not all tariffs announced throughout 2025 were impacted by this U.S. Supreme Court decision. Additionally, in response to the U.S. Supreme Court ruling, the U.S. presidential administration imposed a new worldwide tariff effective for 150 days from February 24, 2026. The imposition of these new, worldwide tariffs, as well as the potential for further tariff actions by the U.S. presidential administration or others, represents a significant source of uncertainty.</w:t>
      </w:r>
    </w:p>
    <w:p>
      <w:pPr>
        <w:spacing w:after="0" w:line="192"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In addition, in response to these tariffs, other countries have threatened, announced or implemented retaliatory tariffs on U.S. goods. Political tensions and uncertainty as a result of rapidly changing trade policies could reduce trade volume, investment, technological exchange, and other economic activities between major international economies, resulting in a material adverse effect on global economic conditions and the stability of global financial markets, which could in turn have a material adverse impact on our business, financial condition and results of operations.</w:t>
      </w:r>
    </w:p>
    <w:p>
      <w:pPr>
        <w:spacing w:after="0" w:line="317"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20"/>
          <w:szCs w:val="20"/>
          <w:b w:val="1"/>
          <w:bCs w:val="1"/>
          <w:i w:val="1"/>
          <w:iCs w:val="1"/>
          <w:color w:val="292929"/>
        </w:rPr>
        <w:t>The impact of global and domestic economic conditions on consumer discretionary spending could materially adversely affect our financial performance.</w:t>
      </w:r>
    </w:p>
    <w:p>
      <w:pPr>
        <w:spacing w:after="0" w:line="49" w:lineRule="exact"/>
        <w:rPr>
          <w:sz w:val="20"/>
          <w:szCs w:val="20"/>
          <w:color w:val="auto"/>
        </w:rPr>
      </w:pPr>
    </w:p>
    <w:p>
      <w:pPr>
        <w:ind w:right="180" w:firstLine="490"/>
        <w:spacing w:after="0" w:line="243" w:lineRule="auto"/>
        <w:rPr>
          <w:sz w:val="20"/>
          <w:szCs w:val="20"/>
          <w:color w:val="auto"/>
        </w:rPr>
      </w:pPr>
      <w:r>
        <w:rPr>
          <w:rFonts w:ascii="Times New Roman" w:cs="Times New Roman" w:eastAsia="Times New Roman" w:hAnsi="Times New Roman"/>
          <w:sz w:val="20"/>
          <w:szCs w:val="20"/>
          <w:color w:val="292929"/>
        </w:rPr>
        <w:t>Dining out is a discretionary expenditure that historically has been influenced by domestic and global economic conditions. These conditions include, but may not be limited to: unemployment, general and industry-specific inflation, consumer confidence, consumer purchasing and saving habits, credit conditions, stock market performance, home values, population growth, household incomes and tax policy. Material changes to governmental policy related to domestic and international fiscal concerns, and/or changes in central bank policies with respect to monetary policy, also could affect consumer discretionary spending. Any factor affecting consumer discretionary spending may influence customer traffic in our restaurants and average check amount, thus potentially having a material impact on our financial performance. Furthermore, negative economic conditions resulting from war, terrorist activities, global economic occurrences or trends or other geo-political events or conflicts could cause consumers to make long-term changes to their discretionary spending behavior, whether on a temporary, extended or permanent basis. Reductions in staff levels and restaurant closures could result from prolonged negative economic conditions, which could materially adversely affect our business, financial condition or results of operations.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92929"/>
        </w:rPr>
        <w:t>The opening of new restaurants in existing markets may negatively affect sales at our existing restaurants.</w:t>
      </w:r>
    </w:p>
    <w:p>
      <w:pPr>
        <w:spacing w:after="0" w:line="120" w:lineRule="exact"/>
        <w:rPr>
          <w:sz w:val="20"/>
          <w:szCs w:val="20"/>
          <w:color w:val="auto"/>
        </w:rPr>
      </w:pPr>
    </w:p>
    <w:p>
      <w:pPr>
        <w:ind w:right="260" w:firstLine="490"/>
        <w:spacing w:after="0" w:line="270" w:lineRule="auto"/>
        <w:rPr>
          <w:sz w:val="20"/>
          <w:szCs w:val="20"/>
          <w:color w:val="auto"/>
        </w:rPr>
      </w:pPr>
      <w:r>
        <w:rPr>
          <w:rFonts w:ascii="Times New Roman" w:cs="Times New Roman" w:eastAsia="Times New Roman" w:hAnsi="Times New Roman"/>
          <w:sz w:val="19"/>
          <w:szCs w:val="19"/>
          <w:color w:val="292929"/>
        </w:rPr>
        <w:t>The consumer target area of our restaurants varies by location, depending on a number of factors, including population density, other local retail and business attractions, area demographics and geography. As a result, the opening of a new restaurant in or near markets in which we already have restaurants could adversely affect the sales of these existing restaurants and thereby adversely affect our business, financial condition or results of operations.</w:t>
      </w:r>
    </w:p>
    <w:p>
      <w:pPr>
        <w:spacing w:after="0" w:line="177" w:lineRule="exact"/>
        <w:rPr>
          <w:sz w:val="20"/>
          <w:szCs w:val="20"/>
          <w:color w:val="auto"/>
        </w:rPr>
      </w:pPr>
    </w:p>
    <w:p>
      <w:pPr>
        <w:ind w:right="200" w:firstLine="490"/>
        <w:spacing w:after="0" w:line="246" w:lineRule="auto"/>
        <w:rPr>
          <w:sz w:val="20"/>
          <w:szCs w:val="20"/>
          <w:color w:val="auto"/>
        </w:rPr>
      </w:pPr>
      <w:r>
        <w:rPr>
          <w:rFonts w:ascii="Times New Roman" w:cs="Times New Roman" w:eastAsia="Times New Roman" w:hAnsi="Times New Roman"/>
          <w:sz w:val="20"/>
          <w:szCs w:val="20"/>
          <w:color w:val="292929"/>
        </w:rPr>
        <w:t>The presence of existing restaurants could also make it more difficult to build our consumer base for a new restaurant in the same market. Our core business strategy does not entail opening new restaurants that we believe will materially affect sales at our existing restaurants, but we may selectively open new restaurants in and around areas of existing restaurants that are operating at or near capacity to effectively serve our guests. Sales cannibalization between our restaurants may become significant in the future as we continue to expand our operations and could affect our sales growth, which could, in turn, materially adversely affect our business, financial condition or results of operations.</w:t>
      </w:r>
    </w:p>
    <w:p>
      <w:pPr>
        <w:spacing w:after="0" w:line="320"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20"/>
          <w:szCs w:val="20"/>
          <w:b w:val="1"/>
          <w:bCs w:val="1"/>
          <w:i w:val="1"/>
          <w:iCs w:val="1"/>
          <w:color w:val="292929"/>
        </w:rPr>
        <w:t>Newly opened restaurants may not be profitable, and the increases in average restaurant sales and comparable restaurant sales that we have experienced in the past may not be indicative of future results.</w:t>
      </w:r>
    </w:p>
    <w:p>
      <w:pPr>
        <w:spacing w:after="0" w:line="49" w:lineRule="exact"/>
        <w:rPr>
          <w:sz w:val="20"/>
          <w:szCs w:val="20"/>
          <w:color w:val="auto"/>
        </w:rPr>
      </w:pPr>
    </w:p>
    <w:p>
      <w:pPr>
        <w:ind w:right="380" w:firstLine="540"/>
        <w:spacing w:after="0" w:line="277" w:lineRule="auto"/>
        <w:rPr>
          <w:sz w:val="20"/>
          <w:szCs w:val="20"/>
          <w:color w:val="auto"/>
        </w:rPr>
      </w:pPr>
      <w:r>
        <w:rPr>
          <w:rFonts w:ascii="Times New Roman" w:cs="Times New Roman" w:eastAsia="Times New Roman" w:hAnsi="Times New Roman"/>
          <w:sz w:val="20"/>
          <w:szCs w:val="20"/>
          <w:color w:val="292929"/>
        </w:rPr>
        <w:t>New restaurants may not be profitable and their sales performance may not follow historical patterns. In addition, our average restaurant sales and comparable restaurant sales may not increase at the rates achieved in the</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540"/>
          </w:cols>
          <w:pgMar w:left="1260" w:top="1240" w:right="1440" w:bottom="355" w:gutter="0" w:footer="0" w:header="0"/>
          <w:type w:val="continuous"/>
        </w:sectPr>
      </w:pPr>
    </w:p>
    <w:bookmarkStart w:id="14" w:name="page15"/>
    <w:bookmarkEnd w:id="14"/>
    <w:p>
      <w:pPr>
        <w:ind w:right="240"/>
        <w:spacing w:after="0" w:line="258" w:lineRule="auto"/>
        <w:rPr>
          <w:sz w:val="20"/>
          <w:szCs w:val="20"/>
          <w:color w:val="auto"/>
        </w:rPr>
      </w:pPr>
      <w:r>
        <w:rPr>
          <w:rFonts w:ascii="Times New Roman" w:cs="Times New Roman" w:eastAsia="Times New Roman" w:hAnsi="Times New Roman"/>
          <w:sz w:val="20"/>
          <w:szCs w:val="20"/>
          <w:color w:val="292929"/>
        </w:rPr>
        <w:t>past. Our business depends on the success of new restaurants as well as the success of existing restaurants. If sales at existing restaurant locations do not meet expectations and our new restaurants are not profitable, our business and results of operations may be harmed.</w:t>
      </w:r>
    </w:p>
    <w:p>
      <w:pPr>
        <w:spacing w:after="0" w:line="188" w:lineRule="exact"/>
        <w:rPr>
          <w:sz w:val="20"/>
          <w:szCs w:val="20"/>
          <w:color w:val="auto"/>
        </w:rPr>
      </w:pPr>
    </w:p>
    <w:p>
      <w:pPr>
        <w:ind w:right="880" w:firstLine="490"/>
        <w:spacing w:after="0" w:line="277" w:lineRule="auto"/>
        <w:rPr>
          <w:sz w:val="20"/>
          <w:szCs w:val="20"/>
          <w:color w:val="auto"/>
        </w:rPr>
      </w:pPr>
      <w:r>
        <w:rPr>
          <w:rFonts w:ascii="Times New Roman" w:cs="Times New Roman" w:eastAsia="Times New Roman" w:hAnsi="Times New Roman"/>
          <w:sz w:val="20"/>
          <w:szCs w:val="20"/>
          <w:color w:val="292929"/>
        </w:rPr>
        <w:t>Our ability to operate new restaurants profitably and increase average restaurant sales and comparable restaurant sales will depend on many factors, some of which are beyond our control, including:</w:t>
      </w:r>
    </w:p>
    <w:p>
      <w:pPr>
        <w:spacing w:after="0" w:line="64" w:lineRule="exact"/>
        <w:rPr>
          <w:sz w:val="20"/>
          <w:szCs w:val="20"/>
          <w:color w:val="auto"/>
        </w:rPr>
      </w:pPr>
    </w:p>
    <w:p>
      <w:pPr>
        <w:ind w:left="980" w:hanging="490"/>
        <w:spacing w:after="0"/>
        <w:tabs>
          <w:tab w:leader="none" w:pos="980" w:val="left"/>
        </w:tabs>
        <w:numPr>
          <w:ilvl w:val="0"/>
          <w:numId w:val="11"/>
        </w:numPr>
        <w:rPr>
          <w:rFonts w:ascii="Arial" w:cs="Arial" w:eastAsia="Arial" w:hAnsi="Arial"/>
          <w:sz w:val="20"/>
          <w:szCs w:val="20"/>
          <w:color w:val="292929"/>
        </w:rPr>
      </w:pPr>
      <w:r>
        <w:rPr>
          <w:rFonts w:ascii="Times New Roman" w:cs="Times New Roman" w:eastAsia="Times New Roman" w:hAnsi="Times New Roman"/>
          <w:sz w:val="20"/>
          <w:szCs w:val="20"/>
          <w:color w:val="292929"/>
        </w:rPr>
        <w:t>consumer awareness and understanding of our brand and our concept;</w:t>
      </w:r>
    </w:p>
    <w:p>
      <w:pPr>
        <w:spacing w:after="0" w:line="133" w:lineRule="exact"/>
        <w:rPr>
          <w:rFonts w:ascii="Arial" w:cs="Arial" w:eastAsia="Arial" w:hAnsi="Arial"/>
          <w:sz w:val="20"/>
          <w:szCs w:val="20"/>
          <w:color w:val="292929"/>
        </w:rPr>
      </w:pPr>
    </w:p>
    <w:p>
      <w:pPr>
        <w:ind w:left="980" w:right="280" w:hanging="490"/>
        <w:spacing w:after="0" w:line="276" w:lineRule="auto"/>
        <w:tabs>
          <w:tab w:leader="none" w:pos="980" w:val="left"/>
        </w:tabs>
        <w:numPr>
          <w:ilvl w:val="0"/>
          <w:numId w:val="11"/>
        </w:numPr>
        <w:rPr>
          <w:rFonts w:ascii="Arial" w:cs="Arial" w:eastAsia="Arial" w:hAnsi="Arial"/>
          <w:sz w:val="20"/>
          <w:szCs w:val="20"/>
          <w:color w:val="292929"/>
        </w:rPr>
      </w:pPr>
      <w:r>
        <w:rPr>
          <w:rFonts w:ascii="Times New Roman" w:cs="Times New Roman" w:eastAsia="Times New Roman" w:hAnsi="Times New Roman"/>
          <w:sz w:val="20"/>
          <w:szCs w:val="20"/>
          <w:color w:val="292929"/>
        </w:rPr>
        <w:t>general economic conditions, which can affect restaurant traffic, local labor costs and prices we pay for the food products and other supplies we use;</w:t>
      </w:r>
    </w:p>
    <w:p>
      <w:pPr>
        <w:spacing w:after="0" w:line="64" w:lineRule="exact"/>
        <w:rPr>
          <w:rFonts w:ascii="Arial" w:cs="Arial" w:eastAsia="Arial" w:hAnsi="Arial"/>
          <w:sz w:val="20"/>
          <w:szCs w:val="20"/>
          <w:color w:val="292929"/>
        </w:rPr>
      </w:pPr>
    </w:p>
    <w:p>
      <w:pPr>
        <w:ind w:left="980" w:hanging="490"/>
        <w:spacing w:after="0"/>
        <w:tabs>
          <w:tab w:leader="none" w:pos="980" w:val="left"/>
        </w:tabs>
        <w:numPr>
          <w:ilvl w:val="0"/>
          <w:numId w:val="11"/>
        </w:numPr>
        <w:rPr>
          <w:rFonts w:ascii="Arial" w:cs="Arial" w:eastAsia="Arial" w:hAnsi="Arial"/>
          <w:sz w:val="20"/>
          <w:szCs w:val="20"/>
          <w:color w:val="292929"/>
        </w:rPr>
      </w:pPr>
      <w:r>
        <w:rPr>
          <w:rFonts w:ascii="Times New Roman" w:cs="Times New Roman" w:eastAsia="Times New Roman" w:hAnsi="Times New Roman"/>
          <w:sz w:val="20"/>
          <w:szCs w:val="20"/>
          <w:color w:val="292929"/>
        </w:rPr>
        <w:t>changes in consumer preferences and discretionary spending;</w:t>
      </w:r>
    </w:p>
    <w:p>
      <w:pPr>
        <w:spacing w:after="0" w:line="133" w:lineRule="exact"/>
        <w:rPr>
          <w:rFonts w:ascii="Arial" w:cs="Arial" w:eastAsia="Arial" w:hAnsi="Arial"/>
          <w:sz w:val="20"/>
          <w:szCs w:val="20"/>
          <w:color w:val="292929"/>
        </w:rPr>
      </w:pPr>
    </w:p>
    <w:p>
      <w:pPr>
        <w:ind w:left="980" w:hanging="490"/>
        <w:spacing w:after="0"/>
        <w:tabs>
          <w:tab w:leader="none" w:pos="980" w:val="left"/>
        </w:tabs>
        <w:numPr>
          <w:ilvl w:val="0"/>
          <w:numId w:val="11"/>
        </w:numPr>
        <w:rPr>
          <w:rFonts w:ascii="Arial" w:cs="Arial" w:eastAsia="Arial" w:hAnsi="Arial"/>
          <w:sz w:val="20"/>
          <w:szCs w:val="20"/>
          <w:color w:val="292929"/>
        </w:rPr>
      </w:pPr>
      <w:r>
        <w:rPr>
          <w:rFonts w:ascii="Times New Roman" w:cs="Times New Roman" w:eastAsia="Times New Roman" w:hAnsi="Times New Roman"/>
          <w:sz w:val="20"/>
          <w:szCs w:val="20"/>
          <w:color w:val="292929"/>
        </w:rPr>
        <w:t>competition, either from our competitors in the restaurant industry or our own restaurants;</w:t>
      </w:r>
    </w:p>
    <w:p>
      <w:pPr>
        <w:spacing w:after="0" w:line="133" w:lineRule="exact"/>
        <w:rPr>
          <w:rFonts w:ascii="Arial" w:cs="Arial" w:eastAsia="Arial" w:hAnsi="Arial"/>
          <w:sz w:val="20"/>
          <w:szCs w:val="20"/>
          <w:color w:val="292929"/>
        </w:rPr>
      </w:pPr>
    </w:p>
    <w:p>
      <w:pPr>
        <w:ind w:left="980" w:hanging="490"/>
        <w:spacing w:after="0"/>
        <w:tabs>
          <w:tab w:leader="none" w:pos="980" w:val="left"/>
        </w:tabs>
        <w:numPr>
          <w:ilvl w:val="0"/>
          <w:numId w:val="11"/>
        </w:numPr>
        <w:rPr>
          <w:rFonts w:ascii="Arial" w:cs="Arial" w:eastAsia="Arial" w:hAnsi="Arial"/>
          <w:sz w:val="20"/>
          <w:szCs w:val="20"/>
          <w:color w:val="292929"/>
        </w:rPr>
      </w:pPr>
      <w:r>
        <w:rPr>
          <w:rFonts w:ascii="Times New Roman" w:cs="Times New Roman" w:eastAsia="Times New Roman" w:hAnsi="Times New Roman"/>
          <w:sz w:val="20"/>
          <w:szCs w:val="20"/>
          <w:color w:val="292929"/>
        </w:rPr>
        <w:t>temporary and permanent site characteristics of new restaurants; and</w:t>
      </w:r>
    </w:p>
    <w:p>
      <w:pPr>
        <w:spacing w:after="0" w:line="133" w:lineRule="exact"/>
        <w:rPr>
          <w:rFonts w:ascii="Arial" w:cs="Arial" w:eastAsia="Arial" w:hAnsi="Arial"/>
          <w:sz w:val="20"/>
          <w:szCs w:val="20"/>
          <w:color w:val="292929"/>
        </w:rPr>
      </w:pPr>
    </w:p>
    <w:p>
      <w:pPr>
        <w:ind w:left="980" w:hanging="490"/>
        <w:spacing w:after="0"/>
        <w:tabs>
          <w:tab w:leader="none" w:pos="980" w:val="left"/>
        </w:tabs>
        <w:numPr>
          <w:ilvl w:val="0"/>
          <w:numId w:val="11"/>
        </w:numPr>
        <w:rPr>
          <w:rFonts w:ascii="Arial" w:cs="Arial" w:eastAsia="Arial" w:hAnsi="Arial"/>
          <w:sz w:val="20"/>
          <w:szCs w:val="20"/>
          <w:color w:val="292929"/>
        </w:rPr>
      </w:pPr>
      <w:r>
        <w:rPr>
          <w:rFonts w:ascii="Times New Roman" w:cs="Times New Roman" w:eastAsia="Times New Roman" w:hAnsi="Times New Roman"/>
          <w:sz w:val="20"/>
          <w:szCs w:val="20"/>
          <w:color w:val="292929"/>
        </w:rPr>
        <w:t>changes in government regulation.</w:t>
      </w:r>
    </w:p>
    <w:p>
      <w:pPr>
        <w:spacing w:after="0" w:line="239" w:lineRule="exact"/>
        <w:rPr>
          <w:sz w:val="20"/>
          <w:szCs w:val="20"/>
          <w:color w:val="auto"/>
        </w:rPr>
      </w:pPr>
    </w:p>
    <w:p>
      <w:pPr>
        <w:jc w:val="both"/>
        <w:ind w:right="700" w:firstLine="490"/>
        <w:spacing w:after="0" w:line="258" w:lineRule="auto"/>
        <w:rPr>
          <w:sz w:val="20"/>
          <w:szCs w:val="20"/>
          <w:color w:val="auto"/>
        </w:rPr>
      </w:pPr>
      <w:r>
        <w:rPr>
          <w:rFonts w:ascii="Times New Roman" w:cs="Times New Roman" w:eastAsia="Times New Roman" w:hAnsi="Times New Roman"/>
          <w:sz w:val="20"/>
          <w:szCs w:val="20"/>
          <w:color w:val="292929"/>
        </w:rPr>
        <w:t>If our new restaurants do not perform as planned, our business and future prospects could be harmed. In addition, if we are unable to achieve our expected average restaurant sales, our business, financial condition or results of operations could be adversely affected.</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92929"/>
        </w:rPr>
        <w:t>Our sales and profit growth could be adversely affected if comparable restaurant sales are less than we expect</w:t>
      </w:r>
      <w:r>
        <w:rPr>
          <w:rFonts w:ascii="Times New Roman" w:cs="Times New Roman" w:eastAsia="Times New Roman" w:hAnsi="Times New Roman"/>
          <w:sz w:val="20"/>
          <w:szCs w:val="20"/>
          <w:i w:val="1"/>
          <w:iCs w:val="1"/>
          <w:color w:val="292929"/>
        </w:rPr>
        <w:t>.</w:t>
      </w:r>
    </w:p>
    <w:p>
      <w:pPr>
        <w:spacing w:after="0" w:line="120" w:lineRule="exact"/>
        <w:rPr>
          <w:sz w:val="20"/>
          <w:szCs w:val="20"/>
          <w:color w:val="auto"/>
        </w:rPr>
      </w:pPr>
    </w:p>
    <w:p>
      <w:pPr>
        <w:ind w:right="200" w:firstLine="490"/>
        <w:spacing w:after="0" w:line="244" w:lineRule="auto"/>
        <w:rPr>
          <w:sz w:val="20"/>
          <w:szCs w:val="20"/>
          <w:color w:val="auto"/>
        </w:rPr>
      </w:pPr>
      <w:r>
        <w:rPr>
          <w:rFonts w:ascii="Times New Roman" w:cs="Times New Roman" w:eastAsia="Times New Roman" w:hAnsi="Times New Roman"/>
          <w:sz w:val="20"/>
          <w:szCs w:val="20"/>
          <w:color w:val="292929"/>
        </w:rPr>
        <w:t>The level of comparable restaurant sales change, which represents the change in year-over-year sales for restaurants open for at least 18 full months, could affect our sales growth. Our ability to increase comparable restaurant sales depends in part on our ability to successfully implement our sales initiatives, such as our initiatives to increase online and to-go sales, review our beverage program to increase beverage sales and to review operational efficiencies to increase the customer flow in our restaurants. It is possible such initiatives will not be successful, that we will not achieve our target comparable restaurant sales change or that the change in comparable restaurant sales could be negative, which may cause a decrease in our profitability and would materially adversely affect our business, financial condition or results of operations. See “Management’s Discussion and Analysis of Financial Condition and Results of Operations—Comparable Restaurant Sales Change.”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92929"/>
        </w:rPr>
        <w:t>Our failure to manage our growth effectively could harm our business and operating results.</w:t>
      </w:r>
    </w:p>
    <w:p>
      <w:pPr>
        <w:spacing w:after="0" w:line="120"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292929"/>
        </w:rPr>
        <w:t>Our growth plan includes opening new restaurants. Our existing restaurant management systems, financial and management controls and information systems may be inadequate to support our planned expansion.</w:t>
      </w:r>
    </w:p>
    <w:p>
      <w:pPr>
        <w:spacing w:after="0" w:line="169"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292929"/>
        </w:rPr>
        <w:t>Managing our growth effectively will require us to continue to enhance these systems, procedures and controls and to hire, train and retain managers and team members. We may not respond quickly enough to the changing demands that our expansion will impose on our management, restaurant teams and existing infrastructure which could harm our business, financial condition or results of operations.</w:t>
      </w:r>
    </w:p>
    <w:p>
      <w:pPr>
        <w:spacing w:after="0" w:line="314"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b w:val="1"/>
          <w:bCs w:val="1"/>
          <w:i w:val="1"/>
          <w:iCs w:val="1"/>
          <w:color w:val="292929"/>
        </w:rPr>
        <w:t>Our limited number of restaurants, the significant expense associated with opening new restaurants and the unit volumes of our new restaurants makes us susceptible to significant fluctuations in our results of operations.</w:t>
      </w:r>
    </w:p>
    <w:p>
      <w:pPr>
        <w:spacing w:after="0" w:line="49" w:lineRule="exact"/>
        <w:rPr>
          <w:sz w:val="20"/>
          <w:szCs w:val="20"/>
          <w:color w:val="auto"/>
        </w:rPr>
      </w:pPr>
    </w:p>
    <w:p>
      <w:pPr>
        <w:ind w:right="280" w:firstLine="490"/>
        <w:spacing w:after="0" w:line="245" w:lineRule="auto"/>
        <w:rPr>
          <w:sz w:val="20"/>
          <w:szCs w:val="20"/>
          <w:color w:val="auto"/>
        </w:rPr>
      </w:pPr>
      <w:r>
        <w:rPr>
          <w:rFonts w:ascii="Times New Roman" w:cs="Times New Roman" w:eastAsia="Times New Roman" w:hAnsi="Times New Roman"/>
          <w:sz w:val="20"/>
          <w:szCs w:val="20"/>
          <w:color w:val="292929"/>
        </w:rPr>
        <w:t>As of December 31, 2025, we operated 57 restaurants. We opened 15 and six new restaurants in 2025 and 2024, respectively. The capital resources required to develop each new restaurant are significant. During 2023 and 2024, we opened twelve restaurants total with average Net Build-Out Costs of approximately $2.2 million. We are targeting average net build-out costs of less than $3.0 million for new restaurants. However, actual costs may vary significantly depending upon a variety of factors, including the site and size of the restaurant and conditions in the local real estate and labor markets. Our estimates for improvements, fixtures and furnishings may also be incorrect, which may cause us to incur certain impairment charges. Our relatively small number of existing restaurants, the significant investment associated with each new restaurant, variance in the operating results in any one restaurant, a</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540"/>
          </w:cols>
          <w:pgMar w:left="1260" w:top="1240" w:right="1440" w:bottom="355" w:gutter="0" w:footer="0" w:header="0"/>
          <w:type w:val="continuous"/>
        </w:sectPr>
      </w:pPr>
    </w:p>
    <w:bookmarkStart w:id="15" w:name="page16"/>
    <w:bookmarkEnd w:id="15"/>
    <w:p>
      <w:pPr>
        <w:ind w:right="700"/>
        <w:spacing w:after="0" w:line="277" w:lineRule="auto"/>
        <w:rPr>
          <w:sz w:val="20"/>
          <w:szCs w:val="20"/>
          <w:color w:val="auto"/>
        </w:rPr>
      </w:pPr>
      <w:r>
        <w:rPr>
          <w:rFonts w:ascii="Times New Roman" w:cs="Times New Roman" w:eastAsia="Times New Roman" w:hAnsi="Times New Roman"/>
          <w:sz w:val="20"/>
          <w:szCs w:val="20"/>
          <w:color w:val="292929"/>
        </w:rPr>
        <w:t>delay or cancellation in the planned opening of a restaurant, or any combination of the preceding factors could materially affect our business, financial condition or results of operations.</w:t>
      </w:r>
    </w:p>
    <w:p>
      <w:pPr>
        <w:spacing w:after="0" w:line="289"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restaurant base is geographically concentrated, and we could be negatively affected by conditions specific to our markets.</w:t>
      </w:r>
    </w:p>
    <w:p>
      <w:pPr>
        <w:spacing w:after="0" w:line="49" w:lineRule="exact"/>
        <w:rPr>
          <w:sz w:val="20"/>
          <w:szCs w:val="20"/>
          <w:color w:val="auto"/>
        </w:rPr>
      </w:pPr>
    </w:p>
    <w:p>
      <w:pPr>
        <w:ind w:right="240" w:firstLine="490"/>
        <w:spacing w:after="0" w:line="247" w:lineRule="auto"/>
        <w:rPr>
          <w:sz w:val="20"/>
          <w:szCs w:val="20"/>
          <w:color w:val="auto"/>
        </w:rPr>
      </w:pPr>
      <w:r>
        <w:rPr>
          <w:rFonts w:ascii="Times New Roman" w:cs="Times New Roman" w:eastAsia="Times New Roman" w:hAnsi="Times New Roman"/>
          <w:sz w:val="20"/>
          <w:szCs w:val="20"/>
          <w:color w:val="292929"/>
        </w:rPr>
        <w:t>As of December 31, 2025, approximately 42% of our domestic restaurants are located in California, with 30% of our restaurants located in Southern California specifically. Adverse changes in demographic, unemployment, economic, regulatory or weather conditions in California and Texas have had, and may continue to have, material adverse effects on our business, financial condition or results of operations. As a result of our concentration in these markets, we have been, and in the future may be, disproportionately affected by adverse conditions in these markets compared to other chain restaurants with a national footprint.</w:t>
      </w:r>
    </w:p>
    <w:p>
      <w:pPr>
        <w:spacing w:after="0" w:line="320" w:lineRule="exact"/>
        <w:rPr>
          <w:sz w:val="20"/>
          <w:szCs w:val="20"/>
          <w:color w:val="auto"/>
        </w:rPr>
      </w:pPr>
    </w:p>
    <w:p>
      <w:pPr>
        <w:jc w:val="both"/>
        <w:ind w:right="3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Acts of violence at or threatened against our restaurants or the centers in which they are located, including civil unrest, customer intimidation, active shooter situations and terrorism, could unfavorably impact our restaurant sales, which could materially adversely affect our financial performance.</w:t>
      </w:r>
    </w:p>
    <w:p>
      <w:pPr>
        <w:spacing w:after="0" w:line="68" w:lineRule="exact"/>
        <w:rPr>
          <w:sz w:val="20"/>
          <w:szCs w:val="20"/>
          <w:color w:val="auto"/>
        </w:rPr>
      </w:pPr>
    </w:p>
    <w:p>
      <w:pPr>
        <w:ind w:right="240" w:firstLine="490"/>
        <w:spacing w:after="0" w:line="249" w:lineRule="auto"/>
        <w:rPr>
          <w:sz w:val="20"/>
          <w:szCs w:val="20"/>
          <w:color w:val="auto"/>
        </w:rPr>
      </w:pPr>
      <w:r>
        <w:rPr>
          <w:rFonts w:ascii="Times New Roman" w:cs="Times New Roman" w:eastAsia="Times New Roman" w:hAnsi="Times New Roman"/>
          <w:sz w:val="20"/>
          <w:szCs w:val="20"/>
          <w:color w:val="292929"/>
        </w:rPr>
        <w:t>Any act of violence at or threatened against our restaurants or the centers in which they are located, including civil unrest, customer intimidation, active shooter situations and terrorist activities, may result in damage and restricted access to our restaurants and/or restaurant closures in the short-term and, in the long-term, may cause our customers and staff to avoid our restaurants. Any such situation could adversely impact customer traffic and make it more difficult to fully staff our restaurants, which could materially adversely affect our financial performance.</w:t>
      </w:r>
    </w:p>
    <w:p>
      <w:pPr>
        <w:spacing w:after="0" w:line="317"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A decline in visitors to any of the retail centers, shopping malls, lifestyle centers, or entertainment centers where our restaurants are located could negatively affect our restaurant sales</w:t>
      </w:r>
      <w:r>
        <w:rPr>
          <w:rFonts w:ascii="Times New Roman" w:cs="Times New Roman" w:eastAsia="Times New Roman" w:hAnsi="Times New Roman"/>
          <w:sz w:val="20"/>
          <w:szCs w:val="20"/>
          <w:i w:val="1"/>
          <w:iCs w:val="1"/>
          <w:color w:val="292929"/>
        </w:rPr>
        <w:t>.</w:t>
      </w:r>
    </w:p>
    <w:p>
      <w:pPr>
        <w:spacing w:after="0" w:line="49" w:lineRule="exact"/>
        <w:rPr>
          <w:sz w:val="20"/>
          <w:szCs w:val="20"/>
          <w:color w:val="auto"/>
        </w:rPr>
      </w:pPr>
    </w:p>
    <w:p>
      <w:pPr>
        <w:ind w:right="220" w:firstLine="490"/>
        <w:spacing w:after="0" w:line="247" w:lineRule="auto"/>
        <w:rPr>
          <w:sz w:val="20"/>
          <w:szCs w:val="20"/>
          <w:color w:val="auto"/>
        </w:rPr>
      </w:pPr>
      <w:r>
        <w:rPr>
          <w:rFonts w:ascii="Times New Roman" w:cs="Times New Roman" w:eastAsia="Times New Roman" w:hAnsi="Times New Roman"/>
          <w:sz w:val="20"/>
          <w:szCs w:val="20"/>
          <w:color w:val="292929"/>
        </w:rPr>
        <w:t>Our restaurants are primarily located in high-activity commercial centers. We depend on high visitor rates at these centers to attract guests to our restaurants. Factors that may result in declining visitor rates include public health conditions such as a pandemic, economic or political conditions, anchor tenants closing in retail centers in which we operate, changes in consumer preferences or shopping patterns, changes in discretionary consumer spending, increasing petroleum prices, or other factors, which may adversely affect our business, financial condition or results of operations.</w:t>
      </w:r>
    </w:p>
    <w:p>
      <w:pPr>
        <w:spacing w:after="0" w:line="320"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plans to open new restaurants, and the ongoing need for capital expenditures at our existing restaurants, could result in a shortage of capital.</w:t>
      </w:r>
    </w:p>
    <w:p>
      <w:pPr>
        <w:spacing w:after="0" w:line="49" w:lineRule="exact"/>
        <w:rPr>
          <w:sz w:val="20"/>
          <w:szCs w:val="20"/>
          <w:color w:val="auto"/>
        </w:rPr>
      </w:pPr>
    </w:p>
    <w:p>
      <w:pPr>
        <w:ind w:right="300" w:firstLine="490"/>
        <w:spacing w:after="0" w:line="243" w:lineRule="auto"/>
        <w:rPr>
          <w:sz w:val="20"/>
          <w:szCs w:val="20"/>
          <w:color w:val="auto"/>
        </w:rPr>
      </w:pPr>
      <w:r>
        <w:rPr>
          <w:rFonts w:ascii="Times New Roman" w:cs="Times New Roman" w:eastAsia="Times New Roman" w:hAnsi="Times New Roman"/>
          <w:sz w:val="20"/>
          <w:szCs w:val="20"/>
          <w:color w:val="292929"/>
        </w:rPr>
        <w:t>Our growth strategy depends on opening new restaurants, which will require us to use cash flows from operations. We cannot assure you that cash flows from operations will be sufficient to allow us to implement our growth strategy. If these funds are not allocated efficiently among our various projects, or if any of these initiatives prove to be unsuccessful, we may experience reduced profitability and we could be required to delay, significantly curtail or eliminate planned restaurant openings, which could have a material adverse effect on our business, financial condition and results of operations. In addition, our business will continue to require capital expenditures for the maintenance, renovation, and improvement of existing restaurants to remain competitive and maintain the value of our brand. This creates an ongoing need for cash, and, to the extent we cannot fund capital expenditures from cash flows from operations, funds will need to be borrowed or otherwise obtained. If the costs of funding new restaurants or renovations or enhancements to existing restaurants exceed budgeted amounts, and/ or the time for building or renovation is longer than anticipated, our profits and liquidity could be reduced. If we cannot access the capital we need, we may not be able to execute our growth strategy, take advantage of future opportunities or respond to competitive pressures.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Relationships and Other Key Suppliers</w:t>
      </w:r>
    </w:p>
    <w:p>
      <w:pPr>
        <w:spacing w:after="0" w:line="124" w:lineRule="exact"/>
        <w:rPr>
          <w:sz w:val="20"/>
          <w:szCs w:val="20"/>
          <w:color w:val="auto"/>
        </w:rPr>
      </w:pPr>
    </w:p>
    <w:p>
      <w:pPr>
        <w:ind w:right="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rely significantly on certain vendors and suppliers, which could adversely affect our business, financial condition or results of operations.</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540"/>
          </w:cols>
          <w:pgMar w:left="1260" w:top="1240" w:right="1440" w:bottom="355" w:gutter="0" w:footer="0" w:header="0"/>
          <w:type w:val="continuous"/>
        </w:sectPr>
      </w:pPr>
    </w:p>
    <w:bookmarkStart w:id="16" w:name="page17"/>
    <w:bookmarkEnd w:id="16"/>
    <w:p>
      <w:pPr>
        <w:ind w:right="220" w:firstLine="490"/>
        <w:spacing w:after="0" w:line="242" w:lineRule="auto"/>
        <w:rPr>
          <w:sz w:val="20"/>
          <w:szCs w:val="20"/>
          <w:color w:val="auto"/>
        </w:rPr>
      </w:pPr>
      <w:r>
        <w:rPr>
          <w:rFonts w:ascii="Times New Roman" w:cs="Times New Roman" w:eastAsia="Times New Roman" w:hAnsi="Times New Roman"/>
          <w:sz w:val="20"/>
          <w:szCs w:val="20"/>
          <w:color w:val="292929"/>
        </w:rPr>
        <w:t>Our ability to maintain consistent price and quality throughout our restaurants depends in part upon our ability to acquire specified food products and supplies in sufficient quantities from third-party vendors and suppliers at a reasonable cost. In addition, we are dependent upon a few suppliers for certain specialized equipment used in our restaurants, such as the embedded grills in our tables. Fast Fabrications, LLC and Ignite Enterprises, LLC, which provide services related to restaurant interior construction and travel, respectivelyare controlled by parties affiliated with the Company. See Part III, Item 13. “</w:t>
      </w:r>
      <w:r>
        <w:rPr>
          <w:rFonts w:ascii="Times New Roman" w:cs="Times New Roman" w:eastAsia="Times New Roman" w:hAnsi="Times New Roman"/>
          <w:sz w:val="20"/>
          <w:szCs w:val="20"/>
          <w:i w:val="1"/>
          <w:iCs w:val="1"/>
          <w:color w:val="292929"/>
        </w:rPr>
        <w:t>Certain Relationships and Related Transactions, and Director</w:t>
      </w:r>
      <w:r>
        <w:rPr>
          <w:rFonts w:ascii="Times New Roman" w:cs="Times New Roman" w:eastAsia="Times New Roman" w:hAnsi="Times New Roman"/>
          <w:sz w:val="20"/>
          <w:szCs w:val="20"/>
          <w:color w:val="292929"/>
        </w:rPr>
        <w:t xml:space="preserve"> </w:t>
      </w:r>
      <w:r>
        <w:rPr>
          <w:rFonts w:ascii="Times New Roman" w:cs="Times New Roman" w:eastAsia="Times New Roman" w:hAnsi="Times New Roman"/>
          <w:sz w:val="20"/>
          <w:szCs w:val="20"/>
          <w:i w:val="1"/>
          <w:iCs w:val="1"/>
          <w:color w:val="292929"/>
        </w:rPr>
        <w:t>Independence</w:t>
      </w:r>
      <w:r>
        <w:rPr>
          <w:rFonts w:ascii="Times New Roman" w:cs="Times New Roman" w:eastAsia="Times New Roman" w:hAnsi="Times New Roman"/>
          <w:sz w:val="20"/>
          <w:szCs w:val="20"/>
          <w:color w:val="292929"/>
        </w:rPr>
        <w:t>” for additional information on our relationship with these suppliers. We do not currently control the</w:t>
      </w:r>
      <w:r>
        <w:rPr>
          <w:rFonts w:ascii="Times New Roman" w:cs="Times New Roman" w:eastAsia="Times New Roman" w:hAnsi="Times New Roman"/>
          <w:sz w:val="20"/>
          <w:szCs w:val="20"/>
          <w:i w:val="1"/>
          <w:iCs w:val="1"/>
          <w:color w:val="292929"/>
        </w:rPr>
        <w:t xml:space="preserve"> </w:t>
      </w:r>
      <w:r>
        <w:rPr>
          <w:rFonts w:ascii="Times New Roman" w:cs="Times New Roman" w:eastAsia="Times New Roman" w:hAnsi="Times New Roman"/>
          <w:sz w:val="20"/>
          <w:szCs w:val="20"/>
          <w:color w:val="292929"/>
        </w:rPr>
        <w:t>businesses of our vendors and suppliers and our efforts to specify and monitor the standards under which they perform may not be successful. In addition, we did not have written contracts with any of any suppliers until the third quarter of 2023. During the third quarter of 2023, we signed a contract with a specific vendor, Sysco Los Angeles, Inc. (“Sysco”), for most of our restaurant food products. If Sysco is unable to satisfy our product requirements and we turn to another supplier, they may demand terms that are more advantageous to them at a higher cost to us. Sysco accounted for approximately 57.4% and 76.3% of food costs for the years 2025 and 2024, respectively. Furthermore, certain food items are perishable, and we have limited control over whether these items will be delivered to us in appropriate condition for use in our restaurants. If any of our vendors or other suppliers are unable to fulfill their obligations to our standards, if our informal arrangements with our suppliers break down or if we are unable to find replacement providers in the event of a supply or service disruption, we could encounter supply shortages and incur higher costs to secure adequate supplies, which could materially adversely affect our business, financial condition or results of operations.</w:t>
      </w:r>
    </w:p>
    <w:p>
      <w:pPr>
        <w:spacing w:after="0" w:line="204" w:lineRule="exact"/>
        <w:rPr>
          <w:sz w:val="20"/>
          <w:szCs w:val="20"/>
          <w:color w:val="auto"/>
        </w:rPr>
      </w:pPr>
    </w:p>
    <w:p>
      <w:pPr>
        <w:ind w:right="320" w:firstLine="490"/>
        <w:spacing w:after="0" w:line="247" w:lineRule="auto"/>
        <w:rPr>
          <w:sz w:val="20"/>
          <w:szCs w:val="20"/>
          <w:color w:val="auto"/>
        </w:rPr>
      </w:pPr>
      <w:r>
        <w:rPr>
          <w:rFonts w:ascii="Times New Roman" w:cs="Times New Roman" w:eastAsia="Times New Roman" w:hAnsi="Times New Roman"/>
          <w:sz w:val="20"/>
          <w:szCs w:val="20"/>
          <w:color w:val="292929"/>
        </w:rPr>
        <w:t>In addition, we use various third-party vendors to provide, support and maintain most of our management information systems. We also outsource certain accounting, payroll and human resource functions to business process service providers. The failure of such vendors to fulfill their obligations could disrupt our operations. Additionally, any changes we may make to the services we obtain from our vendors, or new vendors we employ, may disrupt our operations. These disruptions could materially adversely affect our business, financial condition or results of operations.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food and supply costs could adversely affect our business, financial condition or results of operations.</w:t>
      </w:r>
    </w:p>
    <w:p>
      <w:pPr>
        <w:spacing w:after="0" w:line="120" w:lineRule="exact"/>
        <w:rPr>
          <w:sz w:val="20"/>
          <w:szCs w:val="20"/>
          <w:color w:val="auto"/>
        </w:rPr>
      </w:pPr>
    </w:p>
    <w:p>
      <w:pPr>
        <w:ind w:right="360" w:firstLine="490"/>
        <w:spacing w:after="0" w:line="244" w:lineRule="auto"/>
        <w:rPr>
          <w:sz w:val="20"/>
          <w:szCs w:val="20"/>
          <w:color w:val="auto"/>
        </w:rPr>
      </w:pPr>
      <w:r>
        <w:rPr>
          <w:rFonts w:ascii="Times New Roman" w:cs="Times New Roman" w:eastAsia="Times New Roman" w:hAnsi="Times New Roman"/>
          <w:sz w:val="20"/>
          <w:szCs w:val="20"/>
          <w:color w:val="292929"/>
        </w:rPr>
        <w:t>Our profitability depends in part on our ability to anticipate and react to changes in food and supply costs. Shortages or interruptions in the availability of certain supplies caused by unanticipated demand, problems in production or distribution, food contamination, inclement weather or other conditions could adversely affect the availability, quality and cost of our ingredients, which could harm our operations. Any increase in the prices of the food products most critical to our menu, such as beef, pork, poultry, and seafood, could also adversely affect our business, financial condition or results from operations. Although we try to manage the impact that these fluctuations have on our operating results, we remain susceptible to increases in food costs as a result of factors beyond our control, such as general economic conditions, seasonal fluctuations, weather conditions, demand, food safety concerns, generalized infectious diseases, product recalls and government regulations.</w:t>
      </w:r>
    </w:p>
    <w:p>
      <w:pPr>
        <w:spacing w:after="0" w:line="206" w:lineRule="exact"/>
        <w:rPr>
          <w:sz w:val="20"/>
          <w:szCs w:val="20"/>
          <w:color w:val="auto"/>
        </w:rPr>
      </w:pPr>
    </w:p>
    <w:p>
      <w:pPr>
        <w:ind w:right="200" w:firstLine="490"/>
        <w:spacing w:after="0" w:line="244" w:lineRule="auto"/>
        <w:rPr>
          <w:sz w:val="20"/>
          <w:szCs w:val="20"/>
          <w:color w:val="auto"/>
        </w:rPr>
      </w:pPr>
      <w:r>
        <w:rPr>
          <w:rFonts w:ascii="Times New Roman" w:cs="Times New Roman" w:eastAsia="Times New Roman" w:hAnsi="Times New Roman"/>
          <w:sz w:val="20"/>
          <w:szCs w:val="20"/>
          <w:color w:val="292929"/>
        </w:rPr>
        <w:t>If any of our distributors or suppliers performs inadequately, or our distribution or supply relationships are disrupted for any reason, our business, financial condition, results of operations or cash flows could be adversely affected. If we cannot replace or engage distributors or suppliers who meet our specifications in a short period of time, that could increase our expenses and cause shortages of food and other items at our restaurants, which could cause one or more of our restaurants to remove items from its menu. If that were to happen, affected restaurants could experience significant reductions in sales during the shortage or thereafter, if guests change their dining habits as a result. In addition, because we provide moderately priced food, we may choose not to, or may be unable to, pass along commodity price increases to consumers. These potential changes in food and supply costs could materially adversely affect our business, financial condition or results of operations.</w:t>
      </w:r>
    </w:p>
    <w:p>
      <w:pPr>
        <w:spacing w:after="0" w:line="326" w:lineRule="exact"/>
        <w:rPr>
          <w:sz w:val="20"/>
          <w:szCs w:val="20"/>
          <w:color w:val="auto"/>
        </w:rPr>
      </w:pPr>
    </w:p>
    <w:p>
      <w:pPr>
        <w:ind w:right="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Failure to receive frequent deliveries of fresh food ingredients and other supplies could harm our business, financial condition or results of operations</w:t>
      </w:r>
      <w:r>
        <w:rPr>
          <w:rFonts w:ascii="Times New Roman" w:cs="Times New Roman" w:eastAsia="Times New Roman" w:hAnsi="Times New Roman"/>
          <w:sz w:val="20"/>
          <w:szCs w:val="20"/>
          <w:i w:val="1"/>
          <w:iCs w:val="1"/>
          <w:color w:val="292929"/>
        </w:rPr>
        <w:t>.</w:t>
      </w:r>
    </w:p>
    <w:p>
      <w:pPr>
        <w:spacing w:after="0" w:line="49"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292929"/>
        </w:rPr>
        <w:t>Our ability to maintain our menu depends in part on our ability to acquire ingredients that meet our specifications from reliable suppliers. Shortages or interruptions in the supply of ingredients caused by unanticipated demand, problems in production or distribution, food contamination, inclement weather or other conditions could adversely affect the availability, quality and cost of our ingredients, which could harm our business, financial</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540"/>
          </w:cols>
          <w:pgMar w:left="1260" w:top="1240" w:right="1440" w:bottom="355" w:gutter="0" w:footer="0" w:header="0"/>
          <w:type w:val="continuous"/>
        </w:sectPr>
      </w:pPr>
    </w:p>
    <w:bookmarkStart w:id="17" w:name="page18"/>
    <w:bookmarkEnd w:id="17"/>
    <w:p>
      <w:pPr>
        <w:ind w:right="220"/>
        <w:spacing w:after="0" w:line="245" w:lineRule="auto"/>
        <w:rPr>
          <w:sz w:val="20"/>
          <w:szCs w:val="20"/>
          <w:color w:val="auto"/>
        </w:rPr>
      </w:pPr>
      <w:r>
        <w:rPr>
          <w:rFonts w:ascii="Times New Roman" w:cs="Times New Roman" w:eastAsia="Times New Roman" w:hAnsi="Times New Roman"/>
          <w:sz w:val="20"/>
          <w:szCs w:val="20"/>
          <w:color w:val="292929"/>
        </w:rPr>
        <w:t>condition or results of operations. If any of our distributors or suppliers performs inadequately, or our distribution or supply relationships are disrupted for any reason, our business, financial condition or results of operations could be adversely affected. If we cannot replace or engage distributors or suppliers who meet our specifications in a short period of time, that could increase our expenses and cause shortages of food and other items at our restaurants, which could cause a restaurant to remove items from its menu. If that were to happen, affected restaurants could experience significant reductions in sales during the shortage or thereafter, if guests change their dining habits as a result. This reduction in sales could materially adversely affect our business, financial condition or results of operations.</w:t>
      </w:r>
    </w:p>
    <w:p>
      <w:pPr>
        <w:spacing w:after="0" w:line="202"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292929"/>
        </w:rPr>
        <w:t>In addition, our approach to competing in the restaurant industry depends in large part on our continued ability to provide authentic and traditional Korean cuisine that is free from artificial ingredients. As we increase our use of these ingredients, the ability of our suppliers to expand output or otherwise increase their supplies to meet our needs may be constrained. We could face difficulties to obtain a sufficient and consistent supply of these ingredients on a cost-effective basis.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Commercial, Operational, Financial and Regulatory Risks</w:t>
      </w:r>
    </w:p>
    <w:p>
      <w:pPr>
        <w:spacing w:after="0" w:line="12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face intense competition, and if we are unable to continue to compete effectively in the restaurant industry in general and, in particular, within the dining segments of the restaurant industry in which we compete, our business, financial condition and results of operations would be adversely affected.</w:t>
      </w:r>
    </w:p>
    <w:p>
      <w:pPr>
        <w:spacing w:after="0" w:line="68" w:lineRule="exact"/>
        <w:rPr>
          <w:sz w:val="20"/>
          <w:szCs w:val="20"/>
          <w:color w:val="auto"/>
        </w:rPr>
      </w:pPr>
    </w:p>
    <w:p>
      <w:pPr>
        <w:ind w:right="220" w:firstLine="490"/>
        <w:spacing w:after="0" w:line="244" w:lineRule="auto"/>
        <w:rPr>
          <w:sz w:val="20"/>
          <w:szCs w:val="20"/>
          <w:color w:val="auto"/>
        </w:rPr>
      </w:pPr>
      <w:r>
        <w:rPr>
          <w:rFonts w:ascii="Times New Roman" w:cs="Times New Roman" w:eastAsia="Times New Roman" w:hAnsi="Times New Roman"/>
          <w:sz w:val="20"/>
          <w:szCs w:val="20"/>
          <w:color w:val="292929"/>
        </w:rPr>
        <w:t>The restaurant and retail industries are intensely competitive, and we face many well-established competitors. We compete within each market with national and regional restaurant and retail chains and locally owned restaurants and retailers. We face significant competition from a variety of casual dining restaurants offering both Asian and non-Asian cuisine, as well as takeout offerings from grocery stores and other outlets where Asian food is sold. These segments are highly competitive with respect to, among other things, product quality, dining experience, ambience, location, convenience, value perception, and price. Our competition continues to intensify as competitors increase the breadth and depth of their product offerings and open new locations. These competitors may have, among other things, chefs who are widely known to the public, which may generate more notoriety for those competitors as compared to our brand. We also compete with many restaurant and retail establishments for site locations and restaurant-level employees.</w:t>
      </w:r>
    </w:p>
    <w:p>
      <w:pPr>
        <w:spacing w:after="0" w:line="202" w:lineRule="exact"/>
        <w:rPr>
          <w:sz w:val="20"/>
          <w:szCs w:val="20"/>
          <w:color w:val="auto"/>
        </w:rPr>
      </w:pPr>
    </w:p>
    <w:p>
      <w:pPr>
        <w:ind w:right="340" w:firstLine="490"/>
        <w:spacing w:after="0" w:line="247" w:lineRule="auto"/>
        <w:rPr>
          <w:sz w:val="20"/>
          <w:szCs w:val="20"/>
          <w:color w:val="auto"/>
        </w:rPr>
      </w:pPr>
      <w:r>
        <w:rPr>
          <w:rFonts w:ascii="Times New Roman" w:cs="Times New Roman" w:eastAsia="Times New Roman" w:hAnsi="Times New Roman"/>
          <w:sz w:val="20"/>
          <w:szCs w:val="20"/>
          <w:color w:val="292929"/>
        </w:rPr>
        <w:t>Several of our competitors offering Asian and related cuisine may look to compete with us on price, quality and service. Any of these competitive factors may materially adversely affect our business, financial condition or results of operations. Although the impact could be short-term, our future results could be impacted again by the opening of other Asian concept restaurants close to our locations, particularly if such Asian concept restaurants are “all you can eat.” The presence of additional “all you can eat” Asian restaurants near our locations could have a negative impact on our results of operations.</w:t>
      </w:r>
    </w:p>
    <w:p>
      <w:pPr>
        <w:spacing w:after="0" w:line="200" w:lineRule="exact"/>
        <w:rPr>
          <w:sz w:val="20"/>
          <w:szCs w:val="20"/>
          <w:color w:val="auto"/>
        </w:rPr>
      </w:pPr>
    </w:p>
    <w:p>
      <w:pPr>
        <w:ind w:right="220" w:firstLine="490"/>
        <w:spacing w:after="0" w:line="247" w:lineRule="auto"/>
        <w:rPr>
          <w:sz w:val="20"/>
          <w:szCs w:val="20"/>
          <w:color w:val="auto"/>
        </w:rPr>
      </w:pPr>
      <w:r>
        <w:rPr>
          <w:rFonts w:ascii="Times New Roman" w:cs="Times New Roman" w:eastAsia="Times New Roman" w:hAnsi="Times New Roman"/>
          <w:sz w:val="20"/>
          <w:szCs w:val="20"/>
          <w:color w:val="292929"/>
        </w:rPr>
        <w:t>We face competition as a result of the convergence of grocery, deli, retail, and restaurant services, particularly in the supermarket industry. We also face competition from various off-premise meal replacement offerings, including, but not limited to, the rapid growth of home meal kit delivery, third party meal delivery, and catering by our competitors. Moreover, our competitors can harm our business even if they are not successful in their own operations by taking away customers or employees through aggressive and costly advertising, promotions or hiring practices. We anticipate that intense competition will continue with respect to all of the factors described above.</w:t>
      </w:r>
    </w:p>
    <w:p>
      <w:pPr>
        <w:spacing w:after="0" w:line="200" w:lineRule="exact"/>
        <w:rPr>
          <w:sz w:val="20"/>
          <w:szCs w:val="20"/>
          <w:color w:val="auto"/>
        </w:rPr>
      </w:pPr>
    </w:p>
    <w:p>
      <w:pPr>
        <w:ind w:right="460" w:firstLine="490"/>
        <w:spacing w:after="0" w:line="252" w:lineRule="auto"/>
        <w:rPr>
          <w:sz w:val="20"/>
          <w:szCs w:val="20"/>
          <w:color w:val="auto"/>
        </w:rPr>
      </w:pPr>
      <w:r>
        <w:rPr>
          <w:rFonts w:ascii="Times New Roman" w:cs="Times New Roman" w:eastAsia="Times New Roman" w:hAnsi="Times New Roman"/>
          <w:sz w:val="20"/>
          <w:szCs w:val="20"/>
          <w:color w:val="292929"/>
        </w:rPr>
        <w:t>We also compete with other restaurant chains and other retail businesses for quality site locations, management and hourly employees, and other aspects of our operations that could affect both the availability and cost of these important resources. If we are unable to continue to compete effectively, our business, financial condition and results of operations would be adversely affected.</w:t>
      </w:r>
    </w:p>
    <w:p>
      <w:pPr>
        <w:spacing w:after="0" w:line="314" w:lineRule="exact"/>
        <w:rPr>
          <w:sz w:val="20"/>
          <w:szCs w:val="20"/>
          <w:color w:val="auto"/>
        </w:rPr>
      </w:pPr>
    </w:p>
    <w:p>
      <w:pPr>
        <w:ind w:right="10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Changes in economic conditions could materially affect our ability to maintain or increase sales at our restaurants or open new restaurants.</w:t>
      </w:r>
    </w:p>
    <w:p>
      <w:pPr>
        <w:spacing w:after="0" w:line="49" w:lineRule="exact"/>
        <w:rPr>
          <w:sz w:val="20"/>
          <w:szCs w:val="20"/>
          <w:color w:val="auto"/>
        </w:rPr>
      </w:pPr>
    </w:p>
    <w:p>
      <w:pPr>
        <w:ind w:right="380" w:firstLine="490"/>
        <w:spacing w:after="0" w:line="305" w:lineRule="auto"/>
        <w:rPr>
          <w:sz w:val="20"/>
          <w:szCs w:val="20"/>
          <w:color w:val="auto"/>
        </w:rPr>
      </w:pPr>
      <w:r>
        <w:rPr>
          <w:rFonts w:ascii="Times New Roman" w:cs="Times New Roman" w:eastAsia="Times New Roman" w:hAnsi="Times New Roman"/>
          <w:sz w:val="19"/>
          <w:szCs w:val="19"/>
          <w:color w:val="292929"/>
        </w:rPr>
        <w:t>The restaurant industry depends on consumer discretionary spending. The United States in general or the specific markets in which we operate may suffer from depressed economic activity, recessionary economic cycles,</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540"/>
          </w:cols>
          <w:pgMar w:left="1260" w:top="1240" w:right="1440" w:bottom="355" w:gutter="0" w:footer="0" w:header="0"/>
          <w:type w:val="continuous"/>
        </w:sectPr>
      </w:pPr>
    </w:p>
    <w:bookmarkStart w:id="18" w:name="page19"/>
    <w:bookmarkEnd w:id="18"/>
    <w:p>
      <w:pPr>
        <w:ind w:right="180"/>
        <w:spacing w:after="0" w:line="252" w:lineRule="auto"/>
        <w:rPr>
          <w:sz w:val="20"/>
          <w:szCs w:val="20"/>
          <w:color w:val="auto"/>
        </w:rPr>
      </w:pPr>
      <w:r>
        <w:rPr>
          <w:rFonts w:ascii="Times New Roman" w:cs="Times New Roman" w:eastAsia="Times New Roman" w:hAnsi="Times New Roman"/>
          <w:sz w:val="20"/>
          <w:szCs w:val="20"/>
          <w:color w:val="292929"/>
        </w:rPr>
        <w:t>higher fuel or energy costs, low consumer confidence, high levels of unemployment, reduced home values, increases in home foreclosures, investment losses, personal bankruptcies, reduced access to credit or other economic factors that may affect consumer discretionary spending. Sales in our restaurants could decline if consumers choose to dine out less frequently or reduce the amount they spend on meals while dining out.</w:t>
      </w:r>
    </w:p>
    <w:p>
      <w:pPr>
        <w:spacing w:after="0" w:line="194" w:lineRule="exact"/>
        <w:rPr>
          <w:sz w:val="20"/>
          <w:szCs w:val="20"/>
          <w:color w:val="auto"/>
        </w:rPr>
      </w:pPr>
    </w:p>
    <w:p>
      <w:pPr>
        <w:ind w:right="440" w:firstLine="490"/>
        <w:spacing w:after="0" w:line="249" w:lineRule="auto"/>
        <w:rPr>
          <w:sz w:val="20"/>
          <w:szCs w:val="20"/>
          <w:color w:val="auto"/>
        </w:rPr>
      </w:pPr>
      <w:r>
        <w:rPr>
          <w:rFonts w:ascii="Times New Roman" w:cs="Times New Roman" w:eastAsia="Times New Roman" w:hAnsi="Times New Roman"/>
          <w:sz w:val="20"/>
          <w:szCs w:val="20"/>
          <w:color w:val="292929"/>
        </w:rPr>
        <w:t>Negative economic conditions might cause consumers to make long-term changes to their discretionary spending behavior, including dining out less frequently on a permanent basis. If restaurant sales decrease, our profitability could decline as we spread fixed costs across a lower level of sales. Reductions in staff levels, asset impairment charges and potential restaurant closures could result from prolonged negative restaurant sales, which could materially adversely affect our business, financial condition or results of operations.</w:t>
      </w:r>
    </w:p>
    <w:p>
      <w:pPr>
        <w:spacing w:after="0" w:line="317" w:lineRule="exact"/>
        <w:rPr>
          <w:sz w:val="20"/>
          <w:szCs w:val="20"/>
          <w:color w:val="auto"/>
        </w:rPr>
      </w:pPr>
    </w:p>
    <w:p>
      <w:pPr>
        <w:ind w:right="58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Food safety and food-borne illness concerns as well as outbreaks of flu, viruses or other diseases could have an adverse effect on our business, financial condition or results of operations</w:t>
      </w:r>
      <w:r>
        <w:rPr>
          <w:rFonts w:ascii="Times New Roman" w:cs="Times New Roman" w:eastAsia="Times New Roman" w:hAnsi="Times New Roman"/>
          <w:sz w:val="20"/>
          <w:szCs w:val="20"/>
          <w:i w:val="1"/>
          <w:iCs w:val="1"/>
          <w:color w:val="292929"/>
        </w:rPr>
        <w:t>.</w:t>
      </w:r>
    </w:p>
    <w:p>
      <w:pPr>
        <w:spacing w:after="0" w:line="49" w:lineRule="exact"/>
        <w:rPr>
          <w:sz w:val="20"/>
          <w:szCs w:val="20"/>
          <w:color w:val="auto"/>
        </w:rPr>
      </w:pPr>
    </w:p>
    <w:p>
      <w:pPr>
        <w:ind w:right="240" w:firstLine="490"/>
        <w:spacing w:after="0" w:line="254" w:lineRule="auto"/>
        <w:rPr>
          <w:sz w:val="20"/>
          <w:szCs w:val="20"/>
          <w:color w:val="auto"/>
        </w:rPr>
      </w:pPr>
      <w:r>
        <w:rPr>
          <w:rFonts w:ascii="Times New Roman" w:cs="Times New Roman" w:eastAsia="Times New Roman" w:hAnsi="Times New Roman"/>
          <w:sz w:val="20"/>
          <w:szCs w:val="20"/>
          <w:color w:val="292929"/>
        </w:rPr>
        <w:t>We cannot guarantee that our internal controls and training will be fully effective in preventing all food safety issues at our restaurants, including any occurrences of food-borne illnesses such as salmonella, E. coli and hepatitis</w:t>
      </w:r>
    </w:p>
    <w:p>
      <w:pPr>
        <w:spacing w:after="0" w:line="1" w:lineRule="exact"/>
        <w:rPr>
          <w:sz w:val="20"/>
          <w:szCs w:val="20"/>
          <w:color w:val="auto"/>
        </w:rPr>
      </w:pPr>
    </w:p>
    <w:p>
      <w:pPr>
        <w:ind w:right="220"/>
        <w:spacing w:after="0"/>
        <w:tabs>
          <w:tab w:leader="none" w:pos="294" w:val="left"/>
        </w:tabs>
        <w:numPr>
          <w:ilvl w:val="0"/>
          <w:numId w:val="12"/>
        </w:numPr>
        <w:rPr>
          <w:rFonts w:ascii="Times New Roman" w:cs="Times New Roman" w:eastAsia="Times New Roman" w:hAnsi="Times New Roman"/>
          <w:sz w:val="20"/>
          <w:szCs w:val="20"/>
          <w:color w:val="292929"/>
        </w:rPr>
      </w:pPr>
      <w:r>
        <w:rPr>
          <w:rFonts w:ascii="Times New Roman" w:cs="Times New Roman" w:eastAsia="Times New Roman" w:hAnsi="Times New Roman"/>
          <w:sz w:val="20"/>
          <w:szCs w:val="20"/>
          <w:color w:val="292929"/>
        </w:rPr>
        <w:t>In addition, there is no guarantee that our restaurant locations will maintain the internal controls and training we require at our restaurants. Furthermore, we rely on third-party vendors, making it difficult to monitor food safety compliance and increasing the risk that food-borne illness would affect multiple locations rather than a single restaurant. Some food-borne illness incidents could be caused by third-party vendors and transporters outside of our control. New illnesses resistant to our current precautions may develop in the future, or diseases with long incubation periods could arise, that could give rise to claims or allegations on a retroactive basis. One or more instances of food-borne illness in any of our restaurants or markets or related to food products we sell could negatively affect our restaurant sales nationwide if highly publicized on national media outlets or through social media. This risk exists even if it were later determined that the illness was wrongly attributed to us or one of our restaurants. A number of other restaurant chains have experienced incidents related to food-borne illnesses that have had a material adverse effect on their operations. The occurrence of a similar incident at one or more of our restaurants, or negative publicity or public speculation about an incident, could materially adversely affect our business, financial condition or results of operations.</w:t>
      </w:r>
    </w:p>
    <w:p>
      <w:pPr>
        <w:spacing w:after="0" w:line="212" w:lineRule="exact"/>
        <w:rPr>
          <w:sz w:val="20"/>
          <w:szCs w:val="20"/>
          <w:color w:val="auto"/>
        </w:rPr>
      </w:pPr>
    </w:p>
    <w:p>
      <w:pPr>
        <w:ind w:right="240" w:firstLine="490"/>
        <w:spacing w:after="0" w:line="247" w:lineRule="auto"/>
        <w:rPr>
          <w:sz w:val="20"/>
          <w:szCs w:val="20"/>
          <w:color w:val="auto"/>
        </w:rPr>
      </w:pPr>
      <w:r>
        <w:rPr>
          <w:rFonts w:ascii="Times New Roman" w:cs="Times New Roman" w:eastAsia="Times New Roman" w:hAnsi="Times New Roman"/>
          <w:sz w:val="20"/>
          <w:szCs w:val="20"/>
          <w:color w:val="292929"/>
        </w:rPr>
        <w:t>Additionally, consumer preferences could be affected by health concerns about the consumption of meat, specifically beef, a key ingredient used in our restaurants. For example, if a pathogen, other bacteria, or parasite infects the food supply (or is believed to have infected the food supply), regardless of whether our supply chain is affected, guests may actively avoid consuming certain ingredients. Negative publicity surrounding such an infection in the food supply, whether related to one of our restaurants or to a competitor in our industry, may have an adverse impact on demand for our food.</w:t>
      </w:r>
    </w:p>
    <w:p>
      <w:pPr>
        <w:spacing w:after="0" w:line="200" w:lineRule="exact"/>
        <w:rPr>
          <w:sz w:val="20"/>
          <w:szCs w:val="20"/>
          <w:color w:val="auto"/>
        </w:rPr>
      </w:pPr>
    </w:p>
    <w:p>
      <w:pPr>
        <w:ind w:right="220" w:firstLine="490"/>
        <w:spacing w:after="0" w:line="245" w:lineRule="auto"/>
        <w:rPr>
          <w:sz w:val="20"/>
          <w:szCs w:val="20"/>
          <w:color w:val="auto"/>
        </w:rPr>
      </w:pPr>
      <w:r>
        <w:rPr>
          <w:rFonts w:ascii="Times New Roman" w:cs="Times New Roman" w:eastAsia="Times New Roman" w:hAnsi="Times New Roman"/>
          <w:sz w:val="20"/>
          <w:szCs w:val="20"/>
          <w:color w:val="292929"/>
        </w:rPr>
        <w:t>If a virus is transmitted by human contact or respiratory transmission, our employees or guests could become infected, or could choose, or be advised, to avoid gathering in public places, any of which could adversely affect our restaurant guest traffic and our ability to adequately staff our restaurants, receive deliveries on a timely basis or perform functions at the corporate level. Additionally, jurisdictions in which we have restaurants may impose mandatory closures, seek voluntary closures or impose restrictions on operations. Even if such measures are not implemented and a virus or other disease does not spread significantly, the perceived risk of infection or significant health risk may cause guests to choose alternatives to dining out in our restaurants which may adversely affect our business.</w:t>
      </w:r>
    </w:p>
    <w:p>
      <w:pPr>
        <w:spacing w:after="0" w:line="322" w:lineRule="exact"/>
        <w:rPr>
          <w:sz w:val="20"/>
          <w:szCs w:val="20"/>
          <w:color w:val="auto"/>
        </w:rPr>
      </w:pPr>
    </w:p>
    <w:p>
      <w:pPr>
        <w:ind w:right="6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New information or attitudes regarding diet and health could result in changes in regulations and consumer consumption habits that could adversely affect our business, financial condition or results of operations.</w:t>
      </w:r>
    </w:p>
    <w:p>
      <w:pPr>
        <w:spacing w:after="0" w:line="49" w:lineRule="exact"/>
        <w:rPr>
          <w:sz w:val="20"/>
          <w:szCs w:val="20"/>
          <w:color w:val="auto"/>
        </w:rPr>
      </w:pPr>
    </w:p>
    <w:p>
      <w:pPr>
        <w:ind w:right="340" w:firstLine="490"/>
        <w:spacing w:after="0" w:line="246" w:lineRule="auto"/>
        <w:rPr>
          <w:sz w:val="20"/>
          <w:szCs w:val="20"/>
          <w:color w:val="auto"/>
        </w:rPr>
      </w:pPr>
      <w:r>
        <w:rPr>
          <w:rFonts w:ascii="Times New Roman" w:cs="Times New Roman" w:eastAsia="Times New Roman" w:hAnsi="Times New Roman"/>
          <w:sz w:val="20"/>
          <w:szCs w:val="20"/>
          <w:color w:val="292929"/>
        </w:rPr>
        <w:t>Changes in attitudes regarding diet and health or new information regarding the adverse health effects of consuming certain foods could result in changes in government regulation and consumer eating habits that may impact our business, financial condition or results of operations. These changes have resulted in, and may continue to result in, laws and regulations requiring us to disclose the nutritional content of our food offerings and laws and regulations affecting permissible ingredients and menu offerings. For example, a number of jurisdictions have enacted menu labeling laws requiring multi-unit restaurant operators to disclose to consumers certain nutritional information, or have enacted legislation restricting the use of certain types of ingredients in restaurants. These</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540"/>
          </w:cols>
          <w:pgMar w:left="1260" w:top="1240" w:right="1440" w:bottom="355" w:gutter="0" w:footer="0" w:header="0"/>
          <w:type w:val="continuous"/>
        </w:sectPr>
      </w:pPr>
    </w:p>
    <w:bookmarkStart w:id="19" w:name="page20"/>
    <w:bookmarkEnd w:id="19"/>
    <w:p>
      <w:pPr>
        <w:ind w:right="180"/>
        <w:spacing w:after="0" w:line="257" w:lineRule="auto"/>
        <w:rPr>
          <w:sz w:val="20"/>
          <w:szCs w:val="20"/>
          <w:color w:val="auto"/>
        </w:rPr>
      </w:pPr>
      <w:r>
        <w:rPr>
          <w:rFonts w:ascii="Times New Roman" w:cs="Times New Roman" w:eastAsia="Times New Roman" w:hAnsi="Times New Roman"/>
          <w:sz w:val="19"/>
          <w:szCs w:val="19"/>
          <w:color w:val="292929"/>
        </w:rPr>
        <w:t>requirements may be different or inconsistent with requirements we are subject to under the Patient Protection and Affordable Care Act of 2010, as amended by the Health Care and Education Reconciliation Act, (collectively, the “ACA”), which establishes a uniform, federal requirement for certain restaurants to post nutritional information on their menus. Specifically, the ACA requires chain restaurants with 20 or more locations operating under the same name and offering substantially the same menus to publish the total number of calories of standard menu items on menus and menu boards, along with a statement that puts this calorie information in the context of a total daily calorie intake. The ACA also requires covered restaurants to provide to consumers, upon request, a written summary of detailed nutritional information for each standard menu item, and to provide a statement on menus and menu boards about the availability of this information upon request. Unfavorable publicity about, or guests’ reactions to, our menu ingredients, the size of our portions or the nutritional content of our menu items could negatively influence the demand for our offerings, thereby adversely affecting our business, financial condition or results of operations.</w:t>
      </w:r>
    </w:p>
    <w:p>
      <w:pPr>
        <w:spacing w:after="0" w:line="197" w:lineRule="exact"/>
        <w:rPr>
          <w:sz w:val="20"/>
          <w:szCs w:val="20"/>
          <w:color w:val="auto"/>
        </w:rPr>
      </w:pPr>
    </w:p>
    <w:p>
      <w:pPr>
        <w:ind w:right="180" w:firstLine="490"/>
        <w:spacing w:after="0" w:line="244" w:lineRule="auto"/>
        <w:rPr>
          <w:sz w:val="20"/>
          <w:szCs w:val="20"/>
          <w:color w:val="auto"/>
        </w:rPr>
      </w:pPr>
      <w:r>
        <w:rPr>
          <w:rFonts w:ascii="Times New Roman" w:cs="Times New Roman" w:eastAsia="Times New Roman" w:hAnsi="Times New Roman"/>
          <w:sz w:val="20"/>
          <w:szCs w:val="20"/>
          <w:color w:val="292929"/>
        </w:rPr>
        <w:t>Compliance with current and future laws and regulations regarding the ingredients and nutritional content of our menu items may be costly and time-consuming. Additionally, if consumer health regulations or consumer eating habits change significantly, we may be required to modify or discontinue certain menu items, and may experience higher costs associated with the implementation of those changes. These changes could also adversely affect the attractiveness of our restaurants to new or returning guests. We cannot predict the impact of any new nutrition labeling requirements. The risks and costs associated with nutritional disclosures on our menus could impact our operations, particularly given differences among applicable legal requirements and practices within the restaurant industry with respect to testing and disclosure, ordinary variations in food preparation among our own restaurants, and the need to rely on the accuracy and completeness of nutritional information obtained from third-party suppliers.</w:t>
      </w:r>
    </w:p>
    <w:p>
      <w:pPr>
        <w:spacing w:after="0" w:line="206"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292929"/>
        </w:rPr>
        <w:t>We may not be able to effectively respond to changes in consumer health perceptions, successfully implement the nutrient content disclosure requirements or adapt our menu offerings to trends in eating habits. The imposition of menu labeling laws and an inability to keep up with consumer eating habits could materially adversely affect our business, financial condition or results of operations, as well as our position within the restaurant industry in general.</w:t>
      </w:r>
    </w:p>
    <w:p>
      <w:pPr>
        <w:spacing w:after="0" w:line="314" w:lineRule="exact"/>
        <w:rPr>
          <w:sz w:val="20"/>
          <w:szCs w:val="20"/>
          <w:color w:val="auto"/>
        </w:rPr>
      </w:pPr>
    </w:p>
    <w:p>
      <w:pPr>
        <w:ind w:right="6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rely significantly on the continued proper operation of our equipment, and any mechanical failure could prevent us from effectively operating our restaurants</w:t>
      </w:r>
      <w:r>
        <w:rPr>
          <w:rFonts w:ascii="Times New Roman" w:cs="Times New Roman" w:eastAsia="Times New Roman" w:hAnsi="Times New Roman"/>
          <w:sz w:val="20"/>
          <w:szCs w:val="20"/>
          <w:i w:val="1"/>
          <w:iCs w:val="1"/>
          <w:color w:val="292929"/>
        </w:rPr>
        <w:t>.</w:t>
      </w:r>
    </w:p>
    <w:p>
      <w:pPr>
        <w:spacing w:after="0" w:line="49" w:lineRule="exact"/>
        <w:rPr>
          <w:sz w:val="20"/>
          <w:szCs w:val="20"/>
          <w:color w:val="auto"/>
        </w:rPr>
      </w:pPr>
    </w:p>
    <w:p>
      <w:pPr>
        <w:ind w:right="180" w:firstLine="490"/>
        <w:spacing w:after="0" w:line="246" w:lineRule="auto"/>
        <w:rPr>
          <w:sz w:val="20"/>
          <w:szCs w:val="20"/>
          <w:color w:val="auto"/>
        </w:rPr>
      </w:pPr>
      <w:r>
        <w:rPr>
          <w:rFonts w:ascii="Times New Roman" w:cs="Times New Roman" w:eastAsia="Times New Roman" w:hAnsi="Times New Roman"/>
          <w:sz w:val="20"/>
          <w:szCs w:val="20"/>
          <w:color w:val="292929"/>
        </w:rPr>
        <w:t>To operate, our restaurants rely on technology and equipment such as the grills and ventilation systems located at each table. Our ability to manage our restaurants safely, efficiently, and effectively depends significantly on the reliability and capacity of these systems. Mechanical failures and our inability to service such equipment in a timely manner could result in delays in customer service and reduce efficiency of our restaurant operations, including a loss of sales. Remediation of such problems could result in significant, unplanned capital investments and any equipment failure may have an adverse effect on our business, financial condition or results of operations due to our reliance on such equipment.</w:t>
      </w:r>
    </w:p>
    <w:p>
      <w:pPr>
        <w:spacing w:after="0" w:line="200" w:lineRule="exact"/>
        <w:rPr>
          <w:sz w:val="20"/>
          <w:szCs w:val="20"/>
          <w:color w:val="auto"/>
        </w:rPr>
      </w:pPr>
    </w:p>
    <w:p>
      <w:pPr>
        <w:ind w:right="240" w:firstLine="490"/>
        <w:spacing w:after="0" w:line="247" w:lineRule="auto"/>
        <w:rPr>
          <w:sz w:val="20"/>
          <w:szCs w:val="20"/>
          <w:color w:val="auto"/>
        </w:rPr>
      </w:pPr>
      <w:r>
        <w:rPr>
          <w:rFonts w:ascii="Times New Roman" w:cs="Times New Roman" w:eastAsia="Times New Roman" w:hAnsi="Times New Roman"/>
          <w:sz w:val="20"/>
          <w:szCs w:val="20"/>
          <w:color w:val="292929"/>
        </w:rPr>
        <w:t>Additionally, customers use our equipment to cook and prepare portions of their meals. Customers may not correctly cook the food they are preparing and/or may improperly use our cooking equipment which could lead to illness, injury or damage to customers’ personal property. Any such result could expose us to litigation and negative publicity. Consumer demand for our restaurant could be impacted by an incident of bodily injury or damage to property. If consumer confidence in our restaurants or brand is diminished due to any such incident, we may experience lower sales and adverse effects to our business, financial condition or results of operations.</w:t>
      </w:r>
    </w:p>
    <w:p>
      <w:pPr>
        <w:spacing w:after="0" w:line="320" w:lineRule="exact"/>
        <w:rPr>
          <w:sz w:val="20"/>
          <w:szCs w:val="20"/>
          <w:color w:val="auto"/>
        </w:rPr>
      </w:pPr>
    </w:p>
    <w:p>
      <w:pPr>
        <w:ind w:right="62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The loss of any registered trademark or other intellectual property or our failure to maximize or successfully assert our intellectual property rights could enable other companies to compete more effectively with us.</w:t>
      </w:r>
    </w:p>
    <w:p>
      <w:pPr>
        <w:spacing w:after="0" w:line="25" w:lineRule="exact"/>
        <w:rPr>
          <w:sz w:val="20"/>
          <w:szCs w:val="20"/>
          <w:color w:val="auto"/>
        </w:rPr>
      </w:pPr>
    </w:p>
    <w:p>
      <w:pPr>
        <w:ind w:right="320" w:firstLine="490"/>
        <w:spacing w:after="0" w:line="252" w:lineRule="auto"/>
        <w:rPr>
          <w:sz w:val="20"/>
          <w:szCs w:val="20"/>
          <w:color w:val="auto"/>
        </w:rPr>
      </w:pPr>
      <w:r>
        <w:rPr>
          <w:rFonts w:ascii="Times New Roman" w:cs="Times New Roman" w:eastAsia="Times New Roman" w:hAnsi="Times New Roman"/>
          <w:sz w:val="20"/>
          <w:szCs w:val="20"/>
          <w:color w:val="292929"/>
        </w:rPr>
        <w:t>We utilize intellectual property in our business. Our trademarks and service marks are valuable assets that reinforce our brand and consumers’ favorable perception of our restaurants. We have invested a significant amount of money in establishing and promoting our trademarked brands. Our continued success depends, to a significant degree, upon our ability to maximize, protect and preserve our intellectual property.</w:t>
      </w:r>
    </w:p>
    <w:p>
      <w:pPr>
        <w:spacing w:after="0" w:line="194" w:lineRule="exact"/>
        <w:rPr>
          <w:sz w:val="20"/>
          <w:szCs w:val="20"/>
          <w:color w:val="auto"/>
        </w:rPr>
      </w:pPr>
    </w:p>
    <w:p>
      <w:pPr>
        <w:jc w:val="center"/>
        <w:ind w:right="240"/>
        <w:spacing w:after="0" w:line="277" w:lineRule="auto"/>
        <w:rPr>
          <w:sz w:val="20"/>
          <w:szCs w:val="20"/>
          <w:color w:val="auto"/>
        </w:rPr>
      </w:pPr>
      <w:r>
        <w:rPr>
          <w:rFonts w:ascii="Times New Roman" w:cs="Times New Roman" w:eastAsia="Times New Roman" w:hAnsi="Times New Roman"/>
          <w:sz w:val="20"/>
          <w:szCs w:val="20"/>
          <w:color w:val="292929"/>
        </w:rPr>
        <w:t>We rely on confidentiality agreements and trademark law to protect our intellectual property rights. Our confidentiality agreements with our team members and certain of our consultants, contract employees, suppliers and</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540"/>
          </w:cols>
          <w:pgMar w:left="1260" w:top="1240" w:right="1440" w:bottom="355" w:gutter="0" w:footer="0" w:header="0"/>
          <w:type w:val="continuous"/>
        </w:sectPr>
      </w:pPr>
    </w:p>
    <w:bookmarkStart w:id="20" w:name="page21"/>
    <w:bookmarkEnd w:id="20"/>
    <w:p>
      <w:pPr>
        <w:ind w:right="260"/>
        <w:spacing w:after="0" w:line="277" w:lineRule="auto"/>
        <w:rPr>
          <w:sz w:val="20"/>
          <w:szCs w:val="20"/>
          <w:color w:val="auto"/>
        </w:rPr>
      </w:pPr>
      <w:r>
        <w:rPr>
          <w:rFonts w:ascii="Times New Roman" w:cs="Times New Roman" w:eastAsia="Times New Roman" w:hAnsi="Times New Roman"/>
          <w:sz w:val="20"/>
          <w:szCs w:val="20"/>
          <w:color w:val="292929"/>
        </w:rPr>
        <w:t>independent contractors, generally require that all information made known to them be kept strictly confidential. As a result, we may not be able to prevent others from independently developing and using similar branding.</w:t>
      </w:r>
    </w:p>
    <w:p>
      <w:pPr>
        <w:spacing w:after="0" w:line="169" w:lineRule="exact"/>
        <w:rPr>
          <w:sz w:val="20"/>
          <w:szCs w:val="20"/>
          <w:color w:val="auto"/>
        </w:rPr>
      </w:pPr>
    </w:p>
    <w:p>
      <w:pPr>
        <w:ind w:right="220" w:firstLine="490"/>
        <w:spacing w:after="0" w:line="243" w:lineRule="auto"/>
        <w:rPr>
          <w:sz w:val="20"/>
          <w:szCs w:val="20"/>
          <w:color w:val="auto"/>
        </w:rPr>
      </w:pPr>
      <w:r>
        <w:rPr>
          <w:rFonts w:ascii="Times New Roman" w:cs="Times New Roman" w:eastAsia="Times New Roman" w:hAnsi="Times New Roman"/>
          <w:sz w:val="20"/>
          <w:szCs w:val="20"/>
          <w:color w:val="292929"/>
        </w:rPr>
        <w:t>We also have trademark registrations both in the U.S. and internationally. We cannot assure you that the steps we have taken to protect our intellectual property rights are adequate, that our intellectual property rights can be successfully defended and asserted in the future or that third parties will not infringe upon or misappropriate any such rights. In addition, our trademark rights and related registrations may be challenged in the future and could be canceled or narrowed. Failure to protect our trademark rights could prevent us in the future from challenging third parties who use names and logos similar to our trademarks, which may in turn cause consumer confusion or negatively affect consumers’ perception of our brand and products. Moreover, intellectual property disputes and proceedings and infringement claims may result in a significant distraction for management and significant expense, which may not be recoverable regardless of whether we are successful. Such proceedings may be protracted with no certainty of success, and an adverse outcome could subject us to liabilities, force us to cease use of certain trademarks or other intellectual property or force us to enter into licenses with others. Any one of these occurrences may have an adverse effect on our business, financial condition and results of operations.</w:t>
      </w:r>
    </w:p>
    <w:p>
      <w:pPr>
        <w:spacing w:after="0" w:line="326" w:lineRule="exact"/>
        <w:rPr>
          <w:sz w:val="20"/>
          <w:szCs w:val="20"/>
          <w:color w:val="auto"/>
        </w:rPr>
      </w:pPr>
    </w:p>
    <w:p>
      <w:pPr>
        <w:ind w:right="6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marketing programs may not be successful, and our advertising campaigns and restaurant designs and remodels may not generate increased sales or profits.</w:t>
      </w:r>
    </w:p>
    <w:p>
      <w:pPr>
        <w:spacing w:after="0" w:line="49" w:lineRule="exact"/>
        <w:rPr>
          <w:sz w:val="20"/>
          <w:szCs w:val="20"/>
          <w:color w:val="auto"/>
        </w:rPr>
      </w:pPr>
    </w:p>
    <w:p>
      <w:pPr>
        <w:ind w:right="280" w:firstLine="490"/>
        <w:spacing w:after="0" w:line="245" w:lineRule="auto"/>
        <w:rPr>
          <w:sz w:val="20"/>
          <w:szCs w:val="20"/>
          <w:color w:val="auto"/>
        </w:rPr>
      </w:pPr>
      <w:r>
        <w:rPr>
          <w:rFonts w:ascii="Times New Roman" w:cs="Times New Roman" w:eastAsia="Times New Roman" w:hAnsi="Times New Roman"/>
          <w:sz w:val="20"/>
          <w:szCs w:val="20"/>
          <w:color w:val="292929"/>
        </w:rPr>
        <w:t>We undertake marketing efforts, advertising campaigns and restaurant designs and remodels to raise brand awareness and attract and retain guests, which causes us to incur costs and expend other resources. These initiatives may not be successful, resulting in expenses incurred without the benefit of higher sales. Additionally, some of our competitors have greater financial resources, which enable them to spend significantly more on marketing and advertising and other initiatives than we are able to. Should our competitors increase spending on marketing and advertising and other initiatives or our marketing funds decrease for any reason, or should our advertising, promotions, new menu items and restaurant designs and remodels be less effective than those of our competitors, there could be a material adverse effect on our business, financial condition or results of operations.</w:t>
      </w:r>
    </w:p>
    <w:p>
      <w:pPr>
        <w:spacing w:after="0" w:line="322"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inability or failure to recognize, respond to and effectively manage the accelerated impact of social media could materially adversely impact our business, financial condition or results of operations.</w:t>
      </w:r>
    </w:p>
    <w:p>
      <w:pPr>
        <w:spacing w:after="0" w:line="49" w:lineRule="exact"/>
        <w:rPr>
          <w:sz w:val="20"/>
          <w:szCs w:val="20"/>
          <w:color w:val="auto"/>
        </w:rPr>
      </w:pPr>
    </w:p>
    <w:p>
      <w:pPr>
        <w:ind w:right="300" w:firstLine="490"/>
        <w:spacing w:after="0" w:line="244" w:lineRule="auto"/>
        <w:rPr>
          <w:sz w:val="20"/>
          <w:szCs w:val="20"/>
          <w:color w:val="auto"/>
        </w:rPr>
      </w:pPr>
      <w:r>
        <w:rPr>
          <w:rFonts w:ascii="Times New Roman" w:cs="Times New Roman" w:eastAsia="Times New Roman" w:hAnsi="Times New Roman"/>
          <w:sz w:val="20"/>
          <w:szCs w:val="20"/>
          <w:color w:val="292929"/>
        </w:rPr>
        <w:t>Our marketing efforts rely heavily on the use of social media. In recent years, there has been a marked increase in the use of social media platforms, including weblogs (blogs), mini-blogs, chat platforms, social media websites, and other forms of Internet-based communications which allow individuals access to a broad audience of consumers and other interested persons. Many of our competitors are expanding their use of social media, and new social media platforms are rapidly being developed, potentially making more traditional social media platforms obsolete. As a result, we need to continuously innovate and develop our social media strategies in order to maintain broad appeal with guests and brand relevance. We also continue to invest in other digital marketing initiatives that allow us to reach our guests across multiple digital channels and build their awareness of, engagement with, and loyalty to our brand. These initiatives may not be successful, resulting in expenses incurred without the benefit of higher sales or increased brand recognition.</w:t>
      </w:r>
    </w:p>
    <w:p>
      <w:pPr>
        <w:spacing w:after="0" w:line="32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b w:val="1"/>
          <w:bCs w:val="1"/>
          <w:i w:val="1"/>
          <w:iCs w:val="1"/>
          <w:color w:val="auto"/>
        </w:rPr>
        <w:t>Negative publicity relating to one of our restaurants could reduce sales at some or all of our other restaurants</w:t>
      </w:r>
      <w:r>
        <w:rPr>
          <w:rFonts w:ascii="Times New Roman" w:cs="Times New Roman" w:eastAsia="Times New Roman" w:hAnsi="Times New Roman"/>
          <w:sz w:val="20"/>
          <w:szCs w:val="20"/>
          <w:i w:val="1"/>
          <w:iCs w:val="1"/>
          <w:color w:val="292929"/>
        </w:rPr>
        <w:t>.</w:t>
      </w:r>
    </w:p>
    <w:p>
      <w:pPr>
        <w:spacing w:after="0" w:line="120" w:lineRule="exact"/>
        <w:rPr>
          <w:sz w:val="20"/>
          <w:szCs w:val="20"/>
          <w:color w:val="auto"/>
        </w:rPr>
      </w:pPr>
    </w:p>
    <w:p>
      <w:pPr>
        <w:ind w:right="260" w:firstLine="490"/>
        <w:spacing w:after="0" w:line="245" w:lineRule="auto"/>
        <w:rPr>
          <w:sz w:val="20"/>
          <w:szCs w:val="20"/>
          <w:color w:val="auto"/>
        </w:rPr>
      </w:pPr>
      <w:r>
        <w:rPr>
          <w:rFonts w:ascii="Times New Roman" w:cs="Times New Roman" w:eastAsia="Times New Roman" w:hAnsi="Times New Roman"/>
          <w:sz w:val="20"/>
          <w:szCs w:val="20"/>
          <w:color w:val="292929"/>
        </w:rPr>
        <w:t>Our success is dependent in part upon our ability to maintain and enhance the value of our brand and consumers’ connection to our brand. We may, from time to time, be faced with negative publicity relating to food quality, restaurant facilities, guest complaints or litigation alleging illness or injury, health inspection scores, integrity of our or our suppliers’ food processing, employee relationships or other matters, regardless of whether the allegations are valid or whether we are held to be responsible. The negative impact of adverse publicity relating to one restaurant may extend far beyond the restaurant involved to affect some or all of our other restaurants, thereby causing an adverse effect on our business, financial condition or results of operations. A similar risk exists with respect to unrelated food service businesses, if consumers associate those businesses with our own operations.</w:t>
      </w:r>
    </w:p>
    <w:p>
      <w:pPr>
        <w:spacing w:after="0" w:line="202"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292929"/>
        </w:rPr>
        <w:t>The considerable expansion in the use of social media over recent years can further amplify any negative publicity that could be generated by such incidents. Many social media platforms immediately publish the content their subscribers and participants post, often without filters or checks on accuracy of the content posted. Information</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540"/>
          </w:cols>
          <w:pgMar w:left="1260" w:top="1240" w:right="1440" w:bottom="355" w:gutter="0" w:footer="0" w:header="0"/>
          <w:type w:val="continuous"/>
        </w:sectPr>
      </w:pPr>
    </w:p>
    <w:bookmarkStart w:id="21" w:name="page22"/>
    <w:bookmarkEnd w:id="21"/>
    <w:p>
      <w:pPr>
        <w:ind w:right="520"/>
        <w:spacing w:after="0" w:line="252" w:lineRule="auto"/>
        <w:rPr>
          <w:sz w:val="20"/>
          <w:szCs w:val="20"/>
          <w:color w:val="auto"/>
        </w:rPr>
      </w:pPr>
      <w:r>
        <w:rPr>
          <w:rFonts w:ascii="Times New Roman" w:cs="Times New Roman" w:eastAsia="Times New Roman" w:hAnsi="Times New Roman"/>
          <w:sz w:val="20"/>
          <w:szCs w:val="20"/>
          <w:color w:val="292929"/>
        </w:rPr>
        <w:t>posted on such platforms may be adverse to our interests and/or may be inaccurate. The dissemination of such information online could harm our business, reputation, prospects, financial condition, or results of operations, regardless of the information’s accuracy. The damage may be immediate without affording us an opportunity for redress or correction.</w:t>
      </w:r>
    </w:p>
    <w:p>
      <w:pPr>
        <w:spacing w:after="0" w:line="194" w:lineRule="exact"/>
        <w:rPr>
          <w:sz w:val="20"/>
          <w:szCs w:val="20"/>
          <w:color w:val="auto"/>
        </w:rPr>
      </w:pPr>
    </w:p>
    <w:p>
      <w:pPr>
        <w:ind w:right="200" w:firstLine="490"/>
        <w:spacing w:after="0" w:line="245" w:lineRule="auto"/>
        <w:rPr>
          <w:sz w:val="20"/>
          <w:szCs w:val="20"/>
          <w:color w:val="auto"/>
        </w:rPr>
      </w:pPr>
      <w:r>
        <w:rPr>
          <w:rFonts w:ascii="Times New Roman" w:cs="Times New Roman" w:eastAsia="Times New Roman" w:hAnsi="Times New Roman"/>
          <w:sz w:val="20"/>
          <w:szCs w:val="20"/>
          <w:color w:val="292929"/>
        </w:rPr>
        <w:t>Additionally, employee claims against us based on, among other things, wage and hour violations, discrimination, harassment or wrongful termination may also create negative publicity that could adversely affect us and divert our financial and management resources that would otherwise be used to benefit the future performance of our operations. A significant increase in the number of these claims or an increase in the number of successful claims could materially adversely affect our business, financial condition or results of operations. Consumer demand for our restaurants and our brand’s value could diminish significantly if any such incidents or other matters create negative publicity or otherwise erode consumer confidence in us or our restaurants, which would likely result in lower sales and could materially adversely affect our business, financial condition or results of operations.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all of the risks associated with leasing space subject to long-term non-cancelable leases.</w:t>
      </w:r>
    </w:p>
    <w:p>
      <w:pPr>
        <w:spacing w:after="0" w:line="104" w:lineRule="exact"/>
        <w:rPr>
          <w:sz w:val="20"/>
          <w:szCs w:val="20"/>
          <w:color w:val="auto"/>
        </w:rPr>
      </w:pPr>
    </w:p>
    <w:p>
      <w:pPr>
        <w:ind w:right="200" w:firstLine="490"/>
        <w:spacing w:after="0" w:line="226" w:lineRule="auto"/>
        <w:rPr>
          <w:sz w:val="20"/>
          <w:szCs w:val="20"/>
          <w:color w:val="auto"/>
        </w:rPr>
      </w:pPr>
      <w:r>
        <w:rPr>
          <w:rFonts w:ascii="Times New Roman" w:cs="Times New Roman" w:eastAsia="Times New Roman" w:hAnsi="Times New Roman"/>
          <w:sz w:val="20"/>
          <w:szCs w:val="20"/>
          <w:color w:val="292929"/>
        </w:rPr>
        <w:t>We do not own any real property, and lease all of our restaurant locations. Payments under our operating leases account for a significant portion of our expenses and we expect the new restaurants we open in the future will similarly be leased. The majority of our leases have lease terms of five to ten years, exclusive of customary extensions which are at our option. Most of our leases require a fixed annual rent which generally increases each year, and some require the payment of additional rent if restaurant sales exceed a negotiated amount. Generally, our leases are “net” leases, which require us to pay all of the cost of insurance, taxes, maintenance and utilities. We generally cannot cancel these leases. Additional sites that we lease are likely to be subject to similar long-term non-cancelable leases. If an existing or future restaurant is not profitable, and we decide to close it, we may nonetheless be committed to perform our obligations under the applicable lease including, among other things, paying the base rent for the balance of the lease term. In addition, as each of our leases expires, we may fail to negotiate renewals, either on commercially acceptable terms or at all, which could cause us to pay increased occupancy costs or to close restaurants in desirable locations. If we fail to negotiate renewals, we may have to dispose of assets at such restaurant locations and incur closure costs as well as impairment of property and equipment. Furthermore, if we fail to negotiate renewals, we may incur additional costs associated with moving transferable furniture, fixtures and equipment. These potential increased occupancy and moving costs, as well as closures of restaurants, could materially adversely affect our business, financial condition or results of operations.</w:t>
      </w:r>
    </w:p>
    <w:p>
      <w:pPr>
        <w:spacing w:after="0" w:line="197" w:lineRule="exact"/>
        <w:rPr>
          <w:sz w:val="20"/>
          <w:szCs w:val="20"/>
          <w:color w:val="auto"/>
        </w:rPr>
      </w:pPr>
    </w:p>
    <w:p>
      <w:pPr>
        <w:ind w:right="260" w:firstLine="490"/>
        <w:spacing w:after="0" w:line="231" w:lineRule="auto"/>
        <w:rPr>
          <w:sz w:val="20"/>
          <w:szCs w:val="20"/>
          <w:color w:val="auto"/>
        </w:rPr>
      </w:pPr>
      <w:r>
        <w:rPr>
          <w:rFonts w:ascii="Times New Roman" w:cs="Times New Roman" w:eastAsia="Times New Roman" w:hAnsi="Times New Roman"/>
          <w:sz w:val="20"/>
          <w:szCs w:val="20"/>
          <w:color w:val="292929"/>
        </w:rPr>
        <w:t>Macroeconomic conditions, including economic downturns, may cause landlords of our leases to be unable to obtain financing or remain in good standing under their existing financing arrangements, resulting in failures to pay required tenant improvement allowances or satisfy other lease covenants to us. In addition, tenants at shopping centers in which we are located or have executed leases, or to which our locations are near, may fail to open or may cease operations. Decreases in total tenant occupancy in shopping centers in which we are located, or to which our locations are near, may affect traffic at our restaurants. All of these factors could have a material adverse impact on our business, financial condition or results of operations.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need capital in the future, and we may not be able to raise that capital on favorable terms.</w:t>
      </w:r>
    </w:p>
    <w:p>
      <w:pPr>
        <w:spacing w:after="0" w:line="104" w:lineRule="exact"/>
        <w:rPr>
          <w:sz w:val="20"/>
          <w:szCs w:val="20"/>
          <w:color w:val="auto"/>
        </w:rPr>
      </w:pPr>
    </w:p>
    <w:p>
      <w:pPr>
        <w:ind w:right="200" w:firstLine="490"/>
        <w:spacing w:after="0" w:line="228" w:lineRule="auto"/>
        <w:rPr>
          <w:sz w:val="20"/>
          <w:szCs w:val="20"/>
          <w:color w:val="auto"/>
        </w:rPr>
      </w:pPr>
      <w:r>
        <w:rPr>
          <w:rFonts w:ascii="Times New Roman" w:cs="Times New Roman" w:eastAsia="Times New Roman" w:hAnsi="Times New Roman"/>
          <w:sz w:val="20"/>
          <w:szCs w:val="20"/>
          <w:color w:val="292929"/>
        </w:rPr>
        <w:t>Developing our business will require significant capital in the future. To meet our capital needs, we expect to rely on our cash flows from operations, future offerings and other third-party financing. Third-party financing in the future may not, however, be available on terms favorable to us, or at all. Our ability to obtain additional funding will be subject to various factors, including market conditions, our operating performance, lender sentiment and our ability to incur additional debt in compliance with other contractual restrictions under term loans or other debt documents we may enter into. These factors may make the timing, amount, or terms and conditions of additional financings unattractive. Additionally, any debt financing that we secure in the future could involve restrictive covenants relating to our capital raising activities and other financial and operational matters, which may make it more difficult for us to obtain additional capital and to pursue business opportunities. Our inability to raise capital could impede our growth and could materially adversely affect our business, financial condition or results of operations.</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540"/>
          </w:cols>
          <w:pgMar w:left="1260" w:top="1240" w:right="1440" w:bottom="355" w:gutter="0" w:footer="0" w:header="0"/>
          <w:type w:val="continuous"/>
        </w:sectPr>
      </w:pPr>
    </w:p>
    <w:bookmarkStart w:id="22" w:name="page23"/>
    <w:bookmarkEnd w:id="22"/>
    <w:p>
      <w:pPr>
        <w:ind w:right="280"/>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Our Paycheck Protection Program loan and our applications for such loans could in the future be determined to have been impermissible or could result in damage to our reputation.</w:t>
      </w:r>
    </w:p>
    <w:p>
      <w:pPr>
        <w:spacing w:after="0" w:line="48" w:lineRule="exact"/>
        <w:rPr>
          <w:sz w:val="20"/>
          <w:szCs w:val="20"/>
          <w:color w:val="auto"/>
        </w:rPr>
      </w:pPr>
    </w:p>
    <w:p>
      <w:pPr>
        <w:ind w:right="200" w:firstLine="490"/>
        <w:spacing w:after="0" w:line="230" w:lineRule="auto"/>
        <w:rPr>
          <w:sz w:val="20"/>
          <w:szCs w:val="20"/>
          <w:color w:val="auto"/>
        </w:rPr>
      </w:pPr>
      <w:r>
        <w:rPr>
          <w:rFonts w:ascii="Times New Roman" w:cs="Times New Roman" w:eastAsia="Times New Roman" w:hAnsi="Times New Roman"/>
          <w:sz w:val="20"/>
          <w:szCs w:val="20"/>
          <w:color w:val="292929"/>
        </w:rPr>
        <w:t>Between April and June 2020, we received proceeds of $9.5 million from loans, or the 2020 PPP Loans, under the Paycheck Protection Program of the CARES Act, of which $9.2 million was forgiven between May and August 2021, which we used to retain current employees, maintain payroll and make lease and utility payments. During 2021, we entered into several additional PPP loan agreements, providing for an additional aggregate loan amount of $13.5 million, or the 2021 PPP Loans, and together with the 2020 PPP Loans, the PPP Loans. All of the 2021 PPP Loans were forgiven during 2021 and in the first quarter of 2022. In addition, the Company has received approximately $16.8 million from the Restaurant Revitalization Fund, or the RRF Grant, under The American Rescue Plan Act of 2021.</w:t>
      </w:r>
    </w:p>
    <w:p>
      <w:pPr>
        <w:spacing w:after="0" w:line="201" w:lineRule="exact"/>
        <w:rPr>
          <w:sz w:val="20"/>
          <w:szCs w:val="20"/>
          <w:color w:val="auto"/>
        </w:rPr>
      </w:pPr>
    </w:p>
    <w:p>
      <w:pPr>
        <w:ind w:right="200" w:firstLine="490"/>
        <w:spacing w:after="0" w:line="241" w:lineRule="auto"/>
        <w:rPr>
          <w:sz w:val="20"/>
          <w:szCs w:val="20"/>
          <w:color w:val="auto"/>
        </w:rPr>
      </w:pPr>
      <w:r>
        <w:rPr>
          <w:rFonts w:ascii="Times New Roman" w:cs="Times New Roman" w:eastAsia="Times New Roman" w:hAnsi="Times New Roman"/>
          <w:sz w:val="20"/>
          <w:szCs w:val="20"/>
          <w:color w:val="292929"/>
        </w:rPr>
        <w:t>In order to apply for the PPP Loans, we were required to certify, among other things, that the current economic uncertainty made the PPP Loans request necessary to support our ongoing operations. We made this certification in good faith after analyzing, among other things, our financial situation and access to alternative forms of capital and believe that we satisfied all eligibility criteria for the PPP Loans, and that our receipt of the PPP Loans is consistent with the broad objectives of the Paycheck Protection Program of the CARES Act. The certification described above does not contain any objective criteria and is subject to interpretation. On April 23, 2020, the SBA issued guidance stating that it is unlikely that a public company with substantial market value and access to capital markets will be able to make the required certification in good faith. The lack of clarity regarding loan eligibility under the Paycheck Protection Program has resulted in significant media coverage and controversy with respect to public companies applying for and receiving loans. If, despite our good-faith belief that given our Company’s circumstances we satisfied all eligible requirements for the PPP Loans, we are later determined to have violated any of the laws or governmental regulations that apply to us in connection with the PPP Loans, such as the False Claims Act, or it is otherwise determined that we were ineligible to receive the PPP Loans, we may be subject to penalties, including significant civil, criminal and administrative penalties and could be required to repay the PPP Loans in their entirety. Additionally, the funds provided by the RRF Grant must be used for specific purposes, and we were required to provide use of funds validations on an annual basis through March 2023 regarding our use of the funds. If the SBA determines we used our RRF Grant funds on ineligible expenses, we may be required to return certain funds. In addition, receipt of a PPP Loan and/or the RRF Grant may result in adverse publicity and damage to reputation, and a review or audit by the SBA or other government entity or claims under the False Claims Act could consume significant financial and management resources. Any of these events could have a material adverse effect on our business, results of operations and financial condition.</w:t>
      </w:r>
    </w:p>
    <w:p>
      <w:pPr>
        <w:spacing w:after="0" w:line="340" w:lineRule="exact"/>
        <w:rPr>
          <w:sz w:val="20"/>
          <w:szCs w:val="20"/>
          <w:color w:val="auto"/>
        </w:rPr>
      </w:pPr>
    </w:p>
    <w:p>
      <w:pPr>
        <w:ind w:right="8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face labor shortages, increased labor costs or unionization activities, our growth, business, financial condition and operating results could be adversely affected.</w:t>
      </w:r>
    </w:p>
    <w:p>
      <w:pPr>
        <w:spacing w:after="0" w:line="49" w:lineRule="exact"/>
        <w:rPr>
          <w:sz w:val="20"/>
          <w:szCs w:val="20"/>
          <w:color w:val="auto"/>
        </w:rPr>
      </w:pPr>
    </w:p>
    <w:p>
      <w:pPr>
        <w:ind w:right="200" w:firstLine="490"/>
        <w:spacing w:after="0" w:line="243" w:lineRule="auto"/>
        <w:rPr>
          <w:sz w:val="20"/>
          <w:szCs w:val="20"/>
          <w:color w:val="auto"/>
        </w:rPr>
      </w:pPr>
      <w:r>
        <w:rPr>
          <w:rFonts w:ascii="Times New Roman" w:cs="Times New Roman" w:eastAsia="Times New Roman" w:hAnsi="Times New Roman"/>
          <w:sz w:val="20"/>
          <w:szCs w:val="20"/>
          <w:color w:val="292929"/>
        </w:rPr>
        <w:t>Labor is a primary component in the cost of operating our restaurants. If we face labor shortages or increased labor costs because of increased competition for employees, higher employee turnover rates, increases in federal, state or local minimum wage rates or other employee benefits costs (including costs associated with health insurance coverage), our operating expenses could increase and our growth could be adversely affected. In addition, our success depends in part upon our ability to attract, motivate and retain a sufficient number of well-qualified restaurant operators and management personnel, as well as a sufficient number of other qualified employees, to keep pace with our expansion schedule. Qualified individuals needed to fill these positions are in short supply in some geographic areas. In addition, restaurants traditionally experience relatively high employee turnover rates. Personal or public health concerns might make some existing employees or potential candidates reluctant to work in enclosed restaurant environments. Our failure to recruit and retain such individuals may delay the planned openings of new restaurants or result in higher employee turnover in existing restaurants, which could have a material adverse effect on our business, financial condition or results of operations.</w:t>
      </w:r>
    </w:p>
    <w:p>
      <w:pPr>
        <w:spacing w:after="0" w:line="206" w:lineRule="exact"/>
        <w:rPr>
          <w:sz w:val="20"/>
          <w:szCs w:val="20"/>
          <w:color w:val="auto"/>
        </w:rPr>
      </w:pPr>
    </w:p>
    <w:p>
      <w:pPr>
        <w:ind w:right="360" w:firstLine="490"/>
        <w:spacing w:after="0" w:line="263" w:lineRule="auto"/>
        <w:rPr>
          <w:sz w:val="20"/>
          <w:szCs w:val="20"/>
          <w:color w:val="auto"/>
        </w:rPr>
      </w:pPr>
      <w:r>
        <w:rPr>
          <w:rFonts w:ascii="Times New Roman" w:cs="Times New Roman" w:eastAsia="Times New Roman" w:hAnsi="Times New Roman"/>
          <w:sz w:val="19"/>
          <w:szCs w:val="19"/>
          <w:color w:val="292929"/>
        </w:rPr>
        <w:t>If we are unable to continue to recruit and retain sufficiently qualified individuals, our business and our growth could be adversely affected. Competition for these employees could require us to pay higher wages, or minimum wage could be increased, which could result in higher labor costs. The minimum wage, particularly in California, continues to increase and is subject to factors outside of our control. In addition, increases in the minimum wage would increase our labor costs. Additionally, costs associated with workers’ compensation are rising, and these costs may continue to rise in the future. We may be unable to increase our menu prices in order to</w:t>
      </w:r>
    </w:p>
    <w:p>
      <w:pPr>
        <w:sectPr>
          <w:pgSz w:w="12240" w:h="15840" w:orient="portrait"/>
          <w:cols w:equalWidth="0" w:num="1">
            <w:col w:w="9540"/>
          </w:cols>
          <w:pgMar w:left="1260" w:top="1227"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540"/>
          </w:cols>
          <w:pgMar w:left="1260" w:top="1227" w:right="1440" w:bottom="355" w:gutter="0" w:footer="0" w:header="0"/>
          <w:type w:val="continuous"/>
        </w:sectPr>
      </w:pPr>
    </w:p>
    <w:bookmarkStart w:id="23" w:name="page24"/>
    <w:bookmarkEnd w:id="23"/>
    <w:p>
      <w:pPr>
        <w:ind w:right="540"/>
        <w:spacing w:after="0" w:line="277" w:lineRule="auto"/>
        <w:rPr>
          <w:sz w:val="20"/>
          <w:szCs w:val="20"/>
          <w:color w:val="auto"/>
        </w:rPr>
      </w:pPr>
      <w:r>
        <w:rPr>
          <w:rFonts w:ascii="Times New Roman" w:cs="Times New Roman" w:eastAsia="Times New Roman" w:hAnsi="Times New Roman"/>
          <w:sz w:val="20"/>
          <w:szCs w:val="20"/>
          <w:color w:val="292929"/>
        </w:rPr>
        <w:t>pass these increased labor costs on to consumers, in which case our profit margins would be negatively affected, which could materially adversely affect our business, financial condition or results of operations.</w:t>
      </w:r>
    </w:p>
    <w:p>
      <w:pPr>
        <w:spacing w:after="0" w:line="169" w:lineRule="exact"/>
        <w:rPr>
          <w:sz w:val="20"/>
          <w:szCs w:val="20"/>
          <w:color w:val="auto"/>
        </w:rPr>
      </w:pPr>
    </w:p>
    <w:p>
      <w:pPr>
        <w:jc w:val="both"/>
        <w:ind w:right="200" w:firstLine="490"/>
        <w:spacing w:after="0" w:line="252" w:lineRule="auto"/>
        <w:rPr>
          <w:sz w:val="20"/>
          <w:szCs w:val="20"/>
          <w:color w:val="auto"/>
        </w:rPr>
      </w:pPr>
      <w:r>
        <w:rPr>
          <w:rFonts w:ascii="Times New Roman" w:cs="Times New Roman" w:eastAsia="Times New Roman" w:hAnsi="Times New Roman"/>
          <w:sz w:val="20"/>
          <w:szCs w:val="20"/>
          <w:color w:val="292929"/>
        </w:rPr>
        <w:t>Although none of our employees are currently covered under collective bargaining agreements, our employees may elect to be represented by labor unions in the future. If a significant number of our employees were to unionize and collective bargaining agreement terms were significantly different from our current compensation arrangements, it could adversely affect our business, financial condition or results of operations.</w:t>
      </w:r>
    </w:p>
    <w:p>
      <w:pPr>
        <w:spacing w:after="0" w:line="314" w:lineRule="exact"/>
        <w:rPr>
          <w:sz w:val="20"/>
          <w:szCs w:val="20"/>
          <w:color w:val="auto"/>
        </w:rPr>
      </w:pPr>
    </w:p>
    <w:p>
      <w:pPr>
        <w:ind w:right="6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business could be adversely affected by a failure to obtain visas or work permits or to properly verify the employment eligibility of our employees.</w:t>
      </w:r>
    </w:p>
    <w:p>
      <w:pPr>
        <w:spacing w:after="0" w:line="49" w:lineRule="exact"/>
        <w:rPr>
          <w:sz w:val="20"/>
          <w:szCs w:val="20"/>
          <w:color w:val="auto"/>
        </w:rPr>
      </w:pPr>
    </w:p>
    <w:p>
      <w:pPr>
        <w:ind w:right="260" w:firstLine="490"/>
        <w:spacing w:after="0" w:line="252" w:lineRule="auto"/>
        <w:rPr>
          <w:sz w:val="20"/>
          <w:szCs w:val="20"/>
          <w:color w:val="auto"/>
        </w:rPr>
      </w:pPr>
      <w:r>
        <w:rPr>
          <w:rFonts w:ascii="Times New Roman" w:cs="Times New Roman" w:eastAsia="Times New Roman" w:hAnsi="Times New Roman"/>
          <w:sz w:val="20"/>
          <w:szCs w:val="20"/>
          <w:color w:val="292929"/>
        </w:rPr>
        <w:t>Some of our employees’ ability to work in the United States depends on obtaining and maintaining necessary visas and work permits. On certain occasions we have been, and in the future we may be, unable to obtain visas or work permits to bring necessary employees to the United States for any number of reasons including, among others, limits set by the U.S. Department of Homeland Security or the U.S. Department of State.</w:t>
      </w:r>
    </w:p>
    <w:p>
      <w:pPr>
        <w:spacing w:after="0" w:line="194" w:lineRule="exact"/>
        <w:rPr>
          <w:sz w:val="20"/>
          <w:szCs w:val="20"/>
          <w:color w:val="auto"/>
        </w:rPr>
      </w:pPr>
    </w:p>
    <w:p>
      <w:pPr>
        <w:ind w:right="180" w:firstLine="490"/>
        <w:spacing w:after="0" w:line="243" w:lineRule="auto"/>
        <w:rPr>
          <w:sz w:val="20"/>
          <w:szCs w:val="20"/>
          <w:color w:val="auto"/>
        </w:rPr>
      </w:pPr>
      <w:r>
        <w:rPr>
          <w:rFonts w:ascii="Times New Roman" w:cs="Times New Roman" w:eastAsia="Times New Roman" w:hAnsi="Times New Roman"/>
          <w:sz w:val="20"/>
          <w:szCs w:val="20"/>
          <w:color w:val="292929"/>
        </w:rPr>
        <w:t>Although we require all workers to provide us with government-specified documentation evidencing their employment eligibility, some of our employees may, without our knowledge, be unauthorized workers. We currently participate in the “E-Verify” program, an Internet-based, free program run by the U.S. government to verify employment eligibility, in states in which participation is required, and we plan to introduce its use across all our restaurants. However, use of the “E-Verify” program does not guarantee that we will properly identify all applicants who are ineligible for employment. Unauthorized workers are subject to deportation and as a result, we may be subject to fines or penalties, could experience adverse publicity that may negatively impact our brand and may make it more difficult to hire and keep qualified employees. Termination of a significant number of employees who are unauthorized employees may disrupt our operations, cause temporary increases in our labor costs as we train new employees and result in adverse publicity. We could also become subject to fines, penalties and other costs related to claims that we did not fully comply with all recordkeeping obligations of federal and state immigration compliance laws. These factors could materially adversely affect our business, financial condition or results of operations.</w:t>
      </w:r>
    </w:p>
    <w:p>
      <w:pPr>
        <w:spacing w:after="0" w:line="323"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Labor disputes may disrupt our operations and affect our profitability, thereby causing a material adverse effect on our business, financial condition or results of operations.</w:t>
      </w:r>
    </w:p>
    <w:p>
      <w:pPr>
        <w:spacing w:after="0" w:line="49" w:lineRule="exact"/>
        <w:rPr>
          <w:sz w:val="20"/>
          <w:szCs w:val="20"/>
          <w:color w:val="auto"/>
        </w:rPr>
      </w:pPr>
    </w:p>
    <w:p>
      <w:pPr>
        <w:ind w:right="360" w:firstLine="490"/>
        <w:spacing w:after="0" w:line="249" w:lineRule="auto"/>
        <w:rPr>
          <w:sz w:val="20"/>
          <w:szCs w:val="20"/>
          <w:color w:val="auto"/>
        </w:rPr>
      </w:pPr>
      <w:r>
        <w:rPr>
          <w:rFonts w:ascii="Times New Roman" w:cs="Times New Roman" w:eastAsia="Times New Roman" w:hAnsi="Times New Roman"/>
          <w:sz w:val="20"/>
          <w:szCs w:val="20"/>
          <w:color w:val="292929"/>
        </w:rPr>
        <w:t>As an employer, we are presently, and may in the future be, subject to various employment-related claims, such as individual or class actions or government enforcement actions relating to alleged employment discrimination, employee classification and related withholding, wage-hour, labor standards or healthcare and benefit issues. Any future actions if brought against us and successful in whole or in part, may affect our ability to compete or could materially adversely affect our business, financial condition or results of operations.</w:t>
      </w:r>
    </w:p>
    <w:p>
      <w:pPr>
        <w:spacing w:after="0" w:line="317" w:lineRule="exact"/>
        <w:rPr>
          <w:sz w:val="20"/>
          <w:szCs w:val="20"/>
          <w:color w:val="auto"/>
        </w:rPr>
      </w:pPr>
    </w:p>
    <w:p>
      <w:pPr>
        <w:ind w:right="6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minimum wage, particularly in California, continues to increase and is subject to factors outside of our control.</w:t>
      </w:r>
    </w:p>
    <w:p>
      <w:pPr>
        <w:spacing w:after="0" w:line="49" w:lineRule="exact"/>
        <w:rPr>
          <w:sz w:val="20"/>
          <w:szCs w:val="20"/>
          <w:color w:val="auto"/>
        </w:rPr>
      </w:pPr>
    </w:p>
    <w:p>
      <w:pPr>
        <w:ind w:right="200" w:firstLine="490"/>
        <w:spacing w:after="0" w:line="244" w:lineRule="auto"/>
        <w:rPr>
          <w:sz w:val="20"/>
          <w:szCs w:val="20"/>
          <w:color w:val="auto"/>
        </w:rPr>
      </w:pPr>
      <w:r>
        <w:rPr>
          <w:rFonts w:ascii="Times New Roman" w:cs="Times New Roman" w:eastAsia="Times New Roman" w:hAnsi="Times New Roman"/>
          <w:sz w:val="20"/>
          <w:szCs w:val="20"/>
          <w:color w:val="292929"/>
        </w:rPr>
        <w:t>The minimum wage, particularly in California, continues to increase and is subject to factors outside of our control. We have a substantial number of hourly employees who are paid wage rates based on the applicable federal or state minimum wage. California’s minimum wage has increased routinely over the past three years and is substantially higher than the federal minimum wage. Moreover, municipalities may set minimum wages above the applicable state standards. The federal minimum wage has been $7.25 per hour since July 24, 2009. Any federally-mandated, state-mandated or municipality-mandated minimum wages may be raised in the future which could have a materially adverse effect on our business, financial condition or results of operations. If we increase our menu prices to cover increased labor costs, the higher prices could adversely affect sales and thereby reduce our margins and adversely affect our business, financial condition or results of operations.</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540"/>
          </w:cols>
          <w:pgMar w:left="1260" w:top="1240" w:right="1440" w:bottom="355" w:gutter="0" w:footer="0" w:header="0"/>
          <w:type w:val="continuous"/>
        </w:sectPr>
      </w:pPr>
    </w:p>
    <w:bookmarkStart w:id="24" w:name="page25"/>
    <w:bookmarkEnd w:id="24"/>
    <w:p>
      <w:pPr>
        <w:ind w:right="2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Changes in employment laws may adversely affect our business, financial condition, results of operations or cash flow</w:t>
      </w:r>
      <w:r>
        <w:rPr>
          <w:rFonts w:ascii="Times New Roman" w:cs="Times New Roman" w:eastAsia="Times New Roman" w:hAnsi="Times New Roman"/>
          <w:sz w:val="20"/>
          <w:szCs w:val="20"/>
          <w:i w:val="1"/>
          <w:iCs w:val="1"/>
          <w:color w:val="292929"/>
        </w:rPr>
        <w:t>.</w:t>
      </w:r>
    </w:p>
    <w:p>
      <w:pPr>
        <w:spacing w:after="0" w:line="49" w:lineRule="exact"/>
        <w:rPr>
          <w:sz w:val="20"/>
          <w:szCs w:val="20"/>
          <w:color w:val="auto"/>
        </w:rPr>
      </w:pPr>
    </w:p>
    <w:p>
      <w:pPr>
        <w:ind w:right="260" w:firstLine="490"/>
        <w:spacing w:after="0" w:line="249" w:lineRule="auto"/>
        <w:rPr>
          <w:sz w:val="20"/>
          <w:szCs w:val="20"/>
          <w:color w:val="auto"/>
        </w:rPr>
      </w:pPr>
      <w:r>
        <w:rPr>
          <w:rFonts w:ascii="Times New Roman" w:cs="Times New Roman" w:eastAsia="Times New Roman" w:hAnsi="Times New Roman"/>
          <w:sz w:val="20"/>
          <w:szCs w:val="20"/>
          <w:color w:val="292929"/>
        </w:rPr>
        <w:t>Various federal and state labor laws govern the relationship with our employees and affect operating costs. These laws include employee classification as exempt/non-exempt for overtime and other purposes, minimum wage requirements, tips and gratuity payments, unemployment tax rates, workers’ compensation rates, immigration status and other wage and benefit requirements. Significant additional government-imposed increases in the following areas could materially affect our business, financial condition, operating results or cash flow:</w:t>
      </w:r>
    </w:p>
    <w:p>
      <w:pPr>
        <w:spacing w:after="0" w:line="91" w:lineRule="exact"/>
        <w:rPr>
          <w:sz w:val="20"/>
          <w:szCs w:val="20"/>
          <w:color w:val="auto"/>
        </w:rPr>
      </w:pPr>
    </w:p>
    <w:p>
      <w:pPr>
        <w:ind w:left="980" w:hanging="490"/>
        <w:spacing w:after="0"/>
        <w:tabs>
          <w:tab w:leader="none" w:pos="980" w:val="left"/>
        </w:tabs>
        <w:numPr>
          <w:ilvl w:val="0"/>
          <w:numId w:val="13"/>
        </w:numPr>
        <w:rPr>
          <w:rFonts w:ascii="Arial" w:cs="Arial" w:eastAsia="Arial" w:hAnsi="Arial"/>
          <w:sz w:val="20"/>
          <w:szCs w:val="20"/>
          <w:color w:val="292929"/>
        </w:rPr>
      </w:pPr>
      <w:r>
        <w:rPr>
          <w:rFonts w:ascii="Times New Roman" w:cs="Times New Roman" w:eastAsia="Times New Roman" w:hAnsi="Times New Roman"/>
          <w:sz w:val="20"/>
          <w:szCs w:val="20"/>
          <w:color w:val="292929"/>
        </w:rPr>
        <w:t>minimum wages;</w:t>
      </w:r>
    </w:p>
    <w:p>
      <w:pPr>
        <w:spacing w:after="0" w:line="133" w:lineRule="exact"/>
        <w:rPr>
          <w:rFonts w:ascii="Arial" w:cs="Arial" w:eastAsia="Arial" w:hAnsi="Arial"/>
          <w:sz w:val="20"/>
          <w:szCs w:val="20"/>
          <w:color w:val="292929"/>
        </w:rPr>
      </w:pPr>
    </w:p>
    <w:p>
      <w:pPr>
        <w:ind w:left="980" w:hanging="490"/>
        <w:spacing w:after="0"/>
        <w:tabs>
          <w:tab w:leader="none" w:pos="980" w:val="left"/>
        </w:tabs>
        <w:numPr>
          <w:ilvl w:val="0"/>
          <w:numId w:val="13"/>
        </w:numPr>
        <w:rPr>
          <w:rFonts w:ascii="Arial" w:cs="Arial" w:eastAsia="Arial" w:hAnsi="Arial"/>
          <w:sz w:val="20"/>
          <w:szCs w:val="20"/>
          <w:color w:val="292929"/>
        </w:rPr>
      </w:pPr>
      <w:r>
        <w:rPr>
          <w:rFonts w:ascii="Times New Roman" w:cs="Times New Roman" w:eastAsia="Times New Roman" w:hAnsi="Times New Roman"/>
          <w:sz w:val="20"/>
          <w:szCs w:val="20"/>
          <w:color w:val="292929"/>
        </w:rPr>
        <w:t>tips and gratuities;</w:t>
      </w:r>
    </w:p>
    <w:p>
      <w:pPr>
        <w:spacing w:after="0" w:line="133" w:lineRule="exact"/>
        <w:rPr>
          <w:rFonts w:ascii="Arial" w:cs="Arial" w:eastAsia="Arial" w:hAnsi="Arial"/>
          <w:sz w:val="20"/>
          <w:szCs w:val="20"/>
          <w:color w:val="292929"/>
        </w:rPr>
      </w:pPr>
    </w:p>
    <w:p>
      <w:pPr>
        <w:ind w:left="980" w:hanging="490"/>
        <w:spacing w:after="0"/>
        <w:tabs>
          <w:tab w:leader="none" w:pos="980" w:val="left"/>
        </w:tabs>
        <w:numPr>
          <w:ilvl w:val="0"/>
          <w:numId w:val="13"/>
        </w:numPr>
        <w:rPr>
          <w:rFonts w:ascii="Arial" w:cs="Arial" w:eastAsia="Arial" w:hAnsi="Arial"/>
          <w:sz w:val="20"/>
          <w:szCs w:val="20"/>
          <w:color w:val="292929"/>
        </w:rPr>
      </w:pPr>
      <w:r>
        <w:rPr>
          <w:rFonts w:ascii="Times New Roman" w:cs="Times New Roman" w:eastAsia="Times New Roman" w:hAnsi="Times New Roman"/>
          <w:sz w:val="20"/>
          <w:szCs w:val="20"/>
          <w:color w:val="292929"/>
        </w:rPr>
        <w:t>mandatory health benefits;</w:t>
      </w:r>
    </w:p>
    <w:p>
      <w:pPr>
        <w:spacing w:after="0" w:line="133" w:lineRule="exact"/>
        <w:rPr>
          <w:rFonts w:ascii="Arial" w:cs="Arial" w:eastAsia="Arial" w:hAnsi="Arial"/>
          <w:sz w:val="20"/>
          <w:szCs w:val="20"/>
          <w:color w:val="292929"/>
        </w:rPr>
      </w:pPr>
    </w:p>
    <w:p>
      <w:pPr>
        <w:ind w:left="980" w:hanging="490"/>
        <w:spacing w:after="0"/>
        <w:tabs>
          <w:tab w:leader="none" w:pos="980" w:val="left"/>
        </w:tabs>
        <w:numPr>
          <w:ilvl w:val="0"/>
          <w:numId w:val="13"/>
        </w:numPr>
        <w:rPr>
          <w:rFonts w:ascii="Arial" w:cs="Arial" w:eastAsia="Arial" w:hAnsi="Arial"/>
          <w:sz w:val="20"/>
          <w:szCs w:val="20"/>
          <w:color w:val="292929"/>
        </w:rPr>
      </w:pPr>
      <w:r>
        <w:rPr>
          <w:rFonts w:ascii="Times New Roman" w:cs="Times New Roman" w:eastAsia="Times New Roman" w:hAnsi="Times New Roman"/>
          <w:sz w:val="20"/>
          <w:szCs w:val="20"/>
          <w:color w:val="292929"/>
        </w:rPr>
        <w:t>vacation accruals;</w:t>
      </w:r>
    </w:p>
    <w:p>
      <w:pPr>
        <w:spacing w:after="0" w:line="133" w:lineRule="exact"/>
        <w:rPr>
          <w:rFonts w:ascii="Arial" w:cs="Arial" w:eastAsia="Arial" w:hAnsi="Arial"/>
          <w:sz w:val="20"/>
          <w:szCs w:val="20"/>
          <w:color w:val="292929"/>
        </w:rPr>
      </w:pPr>
    </w:p>
    <w:p>
      <w:pPr>
        <w:ind w:left="980" w:hanging="490"/>
        <w:spacing w:after="0"/>
        <w:tabs>
          <w:tab w:leader="none" w:pos="980" w:val="left"/>
        </w:tabs>
        <w:numPr>
          <w:ilvl w:val="0"/>
          <w:numId w:val="13"/>
        </w:numPr>
        <w:rPr>
          <w:rFonts w:ascii="Arial" w:cs="Arial" w:eastAsia="Arial" w:hAnsi="Arial"/>
          <w:sz w:val="20"/>
          <w:szCs w:val="20"/>
          <w:color w:val="292929"/>
        </w:rPr>
      </w:pPr>
      <w:r>
        <w:rPr>
          <w:rFonts w:ascii="Times New Roman" w:cs="Times New Roman" w:eastAsia="Times New Roman" w:hAnsi="Times New Roman"/>
          <w:sz w:val="20"/>
          <w:szCs w:val="20"/>
          <w:color w:val="292929"/>
        </w:rPr>
        <w:t>paid leaves of absence, including paid sick leave; and</w:t>
      </w:r>
    </w:p>
    <w:p>
      <w:pPr>
        <w:spacing w:after="0" w:line="133" w:lineRule="exact"/>
        <w:rPr>
          <w:rFonts w:ascii="Arial" w:cs="Arial" w:eastAsia="Arial" w:hAnsi="Arial"/>
          <w:sz w:val="20"/>
          <w:szCs w:val="20"/>
          <w:color w:val="292929"/>
        </w:rPr>
      </w:pPr>
    </w:p>
    <w:p>
      <w:pPr>
        <w:ind w:left="980" w:hanging="490"/>
        <w:spacing w:after="0"/>
        <w:tabs>
          <w:tab w:leader="none" w:pos="980" w:val="left"/>
        </w:tabs>
        <w:numPr>
          <w:ilvl w:val="0"/>
          <w:numId w:val="13"/>
        </w:numPr>
        <w:rPr>
          <w:rFonts w:ascii="Arial" w:cs="Arial" w:eastAsia="Arial" w:hAnsi="Arial"/>
          <w:sz w:val="20"/>
          <w:szCs w:val="20"/>
          <w:color w:val="292929"/>
        </w:rPr>
      </w:pPr>
      <w:r>
        <w:rPr>
          <w:rFonts w:ascii="Times New Roman" w:cs="Times New Roman" w:eastAsia="Times New Roman" w:hAnsi="Times New Roman"/>
          <w:sz w:val="20"/>
          <w:szCs w:val="20"/>
          <w:color w:val="292929"/>
        </w:rPr>
        <w:t>tax reporting.</w:t>
      </w:r>
    </w:p>
    <w:p>
      <w:pPr>
        <w:spacing w:after="0" w:line="359"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20"/>
          <w:szCs w:val="20"/>
          <w:b w:val="1"/>
          <w:bCs w:val="1"/>
          <w:i w:val="1"/>
          <w:iCs w:val="1"/>
          <w:color w:val="292929"/>
        </w:rPr>
        <w:t>Failure to obtain and maintain required licenses and permits or failure to comply with alcoholic beverage or food control regulations could lead to the loss of our liquor and food service licenses and, thereby, harm our business, financial condition or results of operations.</w:t>
      </w:r>
    </w:p>
    <w:p>
      <w:pPr>
        <w:spacing w:after="0" w:line="68" w:lineRule="exact"/>
        <w:rPr>
          <w:sz w:val="20"/>
          <w:szCs w:val="20"/>
          <w:color w:val="auto"/>
        </w:rPr>
      </w:pPr>
    </w:p>
    <w:p>
      <w:pPr>
        <w:ind w:right="420" w:firstLine="490"/>
        <w:spacing w:after="0" w:line="277" w:lineRule="auto"/>
        <w:rPr>
          <w:sz w:val="20"/>
          <w:szCs w:val="20"/>
          <w:color w:val="auto"/>
        </w:rPr>
      </w:pPr>
      <w:r>
        <w:rPr>
          <w:rFonts w:ascii="Times New Roman" w:cs="Times New Roman" w:eastAsia="Times New Roman" w:hAnsi="Times New Roman"/>
          <w:sz w:val="20"/>
          <w:szCs w:val="20"/>
          <w:color w:val="292929"/>
        </w:rPr>
        <w:t>The restaurant industry is subject to various federal, state and local government regulations, including those relating to the sale of food and alcoholic beverages. Such regulations are subject to change from time to time.</w:t>
      </w:r>
    </w:p>
    <w:p>
      <w:pPr>
        <w:spacing w:after="0" w:line="169"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292929"/>
        </w:rPr>
        <w:t>If we fail to obtain and maintain licenses, permits and approvals relating to such regulations, it could adversely affect our business, financial condition or results of operations. Typically, licenses must be renewed annually, and if governmental authorities determine that our conduct violates applicable regulations, may be revoked, suspended or denied renewal for cause at any time. Our failure to obtain or maintain the required licenses and approvals could adversely affect our existing restaurants and delay or result in our decision to cancel the opening of new restaurants, which would adversely affect our business, financial condition or results of operations.</w:t>
      </w:r>
    </w:p>
    <w:p>
      <w:pPr>
        <w:spacing w:after="0" w:line="187" w:lineRule="exact"/>
        <w:rPr>
          <w:sz w:val="20"/>
          <w:szCs w:val="20"/>
          <w:color w:val="auto"/>
        </w:rPr>
      </w:pPr>
    </w:p>
    <w:p>
      <w:pPr>
        <w:ind w:right="260" w:firstLine="490"/>
        <w:spacing w:after="0" w:line="230" w:lineRule="auto"/>
        <w:rPr>
          <w:sz w:val="20"/>
          <w:szCs w:val="20"/>
          <w:color w:val="auto"/>
        </w:rPr>
      </w:pPr>
      <w:r>
        <w:rPr>
          <w:rFonts w:ascii="Times New Roman" w:cs="Times New Roman" w:eastAsia="Times New Roman" w:hAnsi="Times New Roman"/>
          <w:sz w:val="20"/>
          <w:szCs w:val="20"/>
          <w:color w:val="292929"/>
        </w:rPr>
        <w:t>Alcoholic beverage control regulations generally require our restaurants to apply for licensure with a state authority and, in certain locations, county or municipal authorities. These licenses generally must be renewed annually and may be revoked or suspended for cause at any time. Alcoholic beverage control regulations relate to numerous aspects of daily operations of our restaurants, including minimum age of patrons and employees, hours of operation, advertising, trade practices, wholesale purchasing, other relationships with alcohol manufacturers, wholesalers and distributors, inventory control and handling, storage and dispensing of alcoholic beverages. Any future failure to comply with these regulations and obtain or retain liquor licenses could adversely affect our business, financial condition or results of operations.</w:t>
      </w:r>
    </w:p>
    <w:p>
      <w:pPr>
        <w:spacing w:after="0" w:line="308"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20"/>
          <w:szCs w:val="20"/>
          <w:b w:val="1"/>
          <w:bCs w:val="1"/>
          <w:i w:val="1"/>
          <w:iCs w:val="1"/>
          <w:color w:val="292929"/>
        </w:rPr>
        <w:t>Governmental regulation may adversely affect our ability to open new restaurants or otherwise adversely affect our business, financial condition or results of operations.</w:t>
      </w:r>
    </w:p>
    <w:p>
      <w:pPr>
        <w:spacing w:after="0" w:line="48" w:lineRule="exact"/>
        <w:rPr>
          <w:sz w:val="20"/>
          <w:szCs w:val="20"/>
          <w:color w:val="auto"/>
        </w:rPr>
      </w:pPr>
    </w:p>
    <w:p>
      <w:pPr>
        <w:ind w:right="300" w:firstLine="490"/>
        <w:spacing w:after="0" w:line="232" w:lineRule="auto"/>
        <w:rPr>
          <w:sz w:val="20"/>
          <w:szCs w:val="20"/>
          <w:color w:val="auto"/>
        </w:rPr>
      </w:pPr>
      <w:r>
        <w:rPr>
          <w:rFonts w:ascii="Times New Roman" w:cs="Times New Roman" w:eastAsia="Times New Roman" w:hAnsi="Times New Roman"/>
          <w:sz w:val="20"/>
          <w:szCs w:val="20"/>
          <w:color w:val="292929"/>
        </w:rPr>
        <w:t>We are subject to various federal, state and local regulations. Our restaurants are subject to state and local licensing and regulation by health, alcoholic beverage, sanitation, food and occupational safety and other agencies. We may experience material difficulties or failures in obtaining the necessary licenses, approvals or permits for our restaurants, which could delay planned restaurant openings or affect the operations at our existing restaurants. In addition, stringent and varied requirements of local regulators with respect to zoning, land use and environmental factors could delay or prevent development of new restaurants in particular locations.</w:t>
      </w:r>
    </w:p>
    <w:p>
      <w:pPr>
        <w:spacing w:after="0" w:line="190" w:lineRule="exact"/>
        <w:rPr>
          <w:sz w:val="20"/>
          <w:szCs w:val="20"/>
          <w:color w:val="auto"/>
        </w:rPr>
      </w:pPr>
    </w:p>
    <w:p>
      <w:pPr>
        <w:ind w:right="300" w:firstLine="490"/>
        <w:spacing w:after="0" w:line="234" w:lineRule="auto"/>
        <w:rPr>
          <w:sz w:val="20"/>
          <w:szCs w:val="20"/>
          <w:color w:val="auto"/>
        </w:rPr>
      </w:pPr>
      <w:r>
        <w:rPr>
          <w:rFonts w:ascii="Times New Roman" w:cs="Times New Roman" w:eastAsia="Times New Roman" w:hAnsi="Times New Roman"/>
          <w:sz w:val="20"/>
          <w:szCs w:val="20"/>
          <w:color w:val="292929"/>
        </w:rPr>
        <w:t>We are subject to the U.S. Americans with Disabilities Act and similar state laws that give civil rights protections to individuals with disabilities in the context of employment, public accommodations and other areas, including our restaurants. We may in the future have to modify restaurants, for example, by adding access ramps or redesigning certain architectural fixtures, to provide service to or make reasonable accommodations for disabled persons. The expenses associated with these modifications could be material.</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540"/>
          </w:cols>
          <w:pgMar w:left="1260" w:top="1240" w:right="1440" w:bottom="355" w:gutter="0" w:footer="0" w:header="0"/>
          <w:type w:val="continuous"/>
        </w:sectPr>
      </w:pPr>
    </w:p>
    <w:bookmarkStart w:id="25" w:name="page26"/>
    <w:bookmarkEnd w:id="25"/>
    <w:p>
      <w:pPr>
        <w:ind w:right="300" w:firstLine="490"/>
        <w:spacing w:after="0" w:line="234" w:lineRule="auto"/>
        <w:rPr>
          <w:sz w:val="20"/>
          <w:szCs w:val="20"/>
          <w:color w:val="auto"/>
        </w:rPr>
      </w:pPr>
      <w:r>
        <w:rPr>
          <w:rFonts w:ascii="Times New Roman" w:cs="Times New Roman" w:eastAsia="Times New Roman" w:hAnsi="Times New Roman"/>
          <w:sz w:val="20"/>
          <w:szCs w:val="20"/>
          <w:color w:val="292929"/>
        </w:rPr>
        <w:t>Our operations are also subject to the U.S. Occupational Safety and Health Act, which governs worker health and safety, the U.S. Fair Labor Standards Act, which governs such matters as minimum wages and overtime, and a variety of similar federal, state and local laws that govern these and other employment law matters. In addition, federal, state and local proposals related to paid sick leave or similar matters could, if implemented, materially adversely affect our business, financial condition or results of operations.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92929"/>
        </w:rPr>
        <w:t>Compliance with environmental laws may negatively affect our business.</w:t>
      </w:r>
    </w:p>
    <w:p>
      <w:pPr>
        <w:spacing w:after="0" w:line="104" w:lineRule="exact"/>
        <w:rPr>
          <w:sz w:val="20"/>
          <w:szCs w:val="20"/>
          <w:color w:val="auto"/>
        </w:rPr>
      </w:pPr>
    </w:p>
    <w:p>
      <w:pPr>
        <w:ind w:right="220" w:firstLine="490"/>
        <w:spacing w:after="0" w:line="229" w:lineRule="auto"/>
        <w:rPr>
          <w:sz w:val="20"/>
          <w:szCs w:val="20"/>
          <w:color w:val="auto"/>
        </w:rPr>
      </w:pPr>
      <w:r>
        <w:rPr>
          <w:rFonts w:ascii="Times New Roman" w:cs="Times New Roman" w:eastAsia="Times New Roman" w:hAnsi="Times New Roman"/>
          <w:sz w:val="20"/>
          <w:szCs w:val="20"/>
          <w:color w:val="292929"/>
        </w:rPr>
        <w:t>We are subject to federal, state and local laws and regulations concerning waste disposal, pollution, protection of the environment, and the presence, discharge, storage, handling, release and disposal of, and exposure to, hazardous or toxic substances. These environmental laws provide for significant fines and penalties for noncompliance and liabilities for remediation, sometimes without regard to whether the owner or operator of the property knew of, or was responsible for, the release or presence of hazardous toxic substances. Third parties may also make claims against owners or operators of properties for personal injuries and property damage associated with releases of, or actual or alleged exposure to, such hazardous or toxic substances at, on or from our restaurants. Environmental conditions relating to releases of hazardous substances at prior, existing or future restaurant sites could materially adversely affect our business, financial condition or results of operations.</w:t>
      </w:r>
    </w:p>
    <w:p>
      <w:pPr>
        <w:spacing w:after="0" w:line="203" w:lineRule="exact"/>
        <w:rPr>
          <w:sz w:val="20"/>
          <w:szCs w:val="20"/>
          <w:color w:val="auto"/>
        </w:rPr>
      </w:pPr>
    </w:p>
    <w:p>
      <w:pPr>
        <w:ind w:right="340" w:firstLine="490"/>
        <w:spacing w:after="0" w:line="258" w:lineRule="auto"/>
        <w:rPr>
          <w:sz w:val="20"/>
          <w:szCs w:val="20"/>
          <w:color w:val="auto"/>
        </w:rPr>
      </w:pPr>
      <w:r>
        <w:rPr>
          <w:rFonts w:ascii="Times New Roman" w:cs="Times New Roman" w:eastAsia="Times New Roman" w:hAnsi="Times New Roman"/>
          <w:sz w:val="20"/>
          <w:szCs w:val="20"/>
          <w:color w:val="292929"/>
        </w:rPr>
        <w:t>Further, environmental laws, and the administration, interpretation, and enforcement thereof, are subject to change and may become more stringent in the future, each of which could materially adversely affect our business, financial condition or results of operations.</w:t>
      </w:r>
    </w:p>
    <w:p>
      <w:pPr>
        <w:spacing w:after="0" w:line="308" w:lineRule="exact"/>
        <w:rPr>
          <w:sz w:val="20"/>
          <w:szCs w:val="20"/>
          <w:color w:val="auto"/>
        </w:rPr>
      </w:pPr>
    </w:p>
    <w:p>
      <w:pPr>
        <w:ind w:right="740"/>
        <w:spacing w:after="0" w:line="277" w:lineRule="auto"/>
        <w:rPr>
          <w:sz w:val="20"/>
          <w:szCs w:val="20"/>
          <w:color w:val="auto"/>
        </w:rPr>
      </w:pPr>
      <w:r>
        <w:rPr>
          <w:rFonts w:ascii="Times New Roman" w:cs="Times New Roman" w:eastAsia="Times New Roman" w:hAnsi="Times New Roman"/>
          <w:sz w:val="20"/>
          <w:szCs w:val="20"/>
          <w:b w:val="1"/>
          <w:bCs w:val="1"/>
          <w:i w:val="1"/>
          <w:iCs w:val="1"/>
          <w:color w:val="292929"/>
        </w:rPr>
        <w:t>Failure to comply with anti-bribery or anti-corruption laws could adversely affect our reputation, business, financial condition or results of operations.</w:t>
      </w:r>
    </w:p>
    <w:p>
      <w:pPr>
        <w:spacing w:after="0" w:line="49" w:lineRule="exact"/>
        <w:rPr>
          <w:sz w:val="20"/>
          <w:szCs w:val="20"/>
          <w:color w:val="auto"/>
        </w:rPr>
      </w:pPr>
    </w:p>
    <w:p>
      <w:pPr>
        <w:ind w:right="400" w:firstLine="490"/>
        <w:spacing w:after="0" w:line="305" w:lineRule="auto"/>
        <w:rPr>
          <w:sz w:val="20"/>
          <w:szCs w:val="20"/>
          <w:color w:val="auto"/>
        </w:rPr>
      </w:pPr>
      <w:r>
        <w:rPr>
          <w:rFonts w:ascii="Times New Roman" w:cs="Times New Roman" w:eastAsia="Times New Roman" w:hAnsi="Times New Roman"/>
          <w:sz w:val="19"/>
          <w:szCs w:val="19"/>
          <w:color w:val="292929"/>
        </w:rPr>
        <w:t>The U.S. Foreign Corrupt Practices Act and other similar applicable laws prohibiting bribery of government officials and other corrupt practices are the subject of increasing emphasis and enforcement around the world.</w:t>
      </w:r>
    </w:p>
    <w:p>
      <w:pPr>
        <w:spacing w:after="0" w:line="145" w:lineRule="exact"/>
        <w:rPr>
          <w:sz w:val="20"/>
          <w:szCs w:val="20"/>
          <w:color w:val="auto"/>
        </w:rPr>
      </w:pPr>
    </w:p>
    <w:p>
      <w:pPr>
        <w:ind w:right="360" w:firstLine="490"/>
        <w:spacing w:after="0" w:line="246" w:lineRule="auto"/>
        <w:rPr>
          <w:sz w:val="20"/>
          <w:szCs w:val="20"/>
          <w:color w:val="auto"/>
        </w:rPr>
      </w:pPr>
      <w:r>
        <w:rPr>
          <w:rFonts w:ascii="Times New Roman" w:cs="Times New Roman" w:eastAsia="Times New Roman" w:hAnsi="Times New Roman"/>
          <w:sz w:val="20"/>
          <w:szCs w:val="20"/>
          <w:color w:val="292929"/>
        </w:rPr>
        <w:t>Although we have implemented policies and procedures designed to promote compliance with these laws, there can be no assurance that our employees, contractors, agents, or other third parties will not take actions in violation of our policies or applicable law. Any such violations or suspected violations could subject us to civil or criminal penalties, including substantial fines and significant investigation costs, and could also materially damage our reputation, brands, expansion efforts and growth prospects, business, financial condition and results of operations. Publicity relating to any noncompliance or alleged noncompliance could also harm our reputation and adversely affect our business, financial condition or results of operations.</w:t>
      </w:r>
    </w:p>
    <w:p>
      <w:pPr>
        <w:spacing w:after="0" w:line="320"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20"/>
          <w:szCs w:val="20"/>
          <w:b w:val="1"/>
          <w:bCs w:val="1"/>
          <w:i w:val="1"/>
          <w:iCs w:val="1"/>
          <w:color w:val="292929"/>
        </w:rPr>
        <w:t>We could be party to litigation that could distract management, increase our expenses, or subject us to material monetary damages and other remedies</w:t>
      </w:r>
      <w:r>
        <w:rPr>
          <w:rFonts w:ascii="Times New Roman" w:cs="Times New Roman" w:eastAsia="Times New Roman" w:hAnsi="Times New Roman"/>
          <w:sz w:val="20"/>
          <w:szCs w:val="20"/>
          <w:i w:val="1"/>
          <w:iCs w:val="1"/>
          <w:color w:val="292929"/>
        </w:rPr>
        <w:t>.</w:t>
      </w:r>
    </w:p>
    <w:p>
      <w:pPr>
        <w:spacing w:after="0" w:line="49" w:lineRule="exact"/>
        <w:rPr>
          <w:sz w:val="20"/>
          <w:szCs w:val="20"/>
          <w:color w:val="auto"/>
        </w:rPr>
      </w:pPr>
    </w:p>
    <w:p>
      <w:pPr>
        <w:ind w:right="300" w:firstLine="490"/>
        <w:spacing w:after="0" w:line="246" w:lineRule="auto"/>
        <w:rPr>
          <w:sz w:val="20"/>
          <w:szCs w:val="20"/>
          <w:color w:val="auto"/>
        </w:rPr>
      </w:pPr>
      <w:r>
        <w:rPr>
          <w:rFonts w:ascii="Times New Roman" w:cs="Times New Roman" w:eastAsia="Times New Roman" w:hAnsi="Times New Roman"/>
          <w:sz w:val="20"/>
          <w:szCs w:val="20"/>
          <w:color w:val="292929"/>
        </w:rPr>
        <w:t>Our guests may file complaints or lawsuits against us alleging we caused an illness or injury they suffered at or after a visit to our restaurants, or that we have problems with food quality or operations. We are also subject to a variety of other claims arising in the ordinary course of our business, including personal injury claims, contract claims and claims alleging violations of federal and state law regarding workplace and employment matters, equal opportunity, discrimination and similar matters, and we are presently subject to class action and other lawsuits with regard to certain of these matters and could become subject to additional class action or other lawsuits related to these or different matters in the future.</w:t>
      </w:r>
    </w:p>
    <w:p>
      <w:pPr>
        <w:spacing w:after="0" w:line="200" w:lineRule="exact"/>
        <w:rPr>
          <w:sz w:val="20"/>
          <w:szCs w:val="20"/>
          <w:color w:val="auto"/>
        </w:rPr>
      </w:pPr>
    </w:p>
    <w:p>
      <w:pPr>
        <w:ind w:right="420" w:firstLine="490"/>
        <w:spacing w:after="0" w:line="252" w:lineRule="auto"/>
        <w:rPr>
          <w:sz w:val="20"/>
          <w:szCs w:val="20"/>
          <w:color w:val="auto"/>
        </w:rPr>
      </w:pPr>
      <w:r>
        <w:rPr>
          <w:rFonts w:ascii="Times New Roman" w:cs="Times New Roman" w:eastAsia="Times New Roman" w:hAnsi="Times New Roman"/>
          <w:sz w:val="20"/>
          <w:szCs w:val="20"/>
          <w:color w:val="292929"/>
        </w:rPr>
        <w:t>Additionally, we may be subject to claims regarding disputes with existing or future restaurant partners. We currently have a partner at our Honolulu, Hawaii restaurant location. Any disputes with this partner, or other partners, may cause issues for the business and operations of our Honolulu, Hawaii restaurant location or other restaurant locations.</w:t>
      </w:r>
    </w:p>
    <w:p>
      <w:pPr>
        <w:spacing w:after="0" w:line="194" w:lineRule="exact"/>
        <w:rPr>
          <w:sz w:val="20"/>
          <w:szCs w:val="20"/>
          <w:color w:val="auto"/>
        </w:rPr>
      </w:pPr>
    </w:p>
    <w:p>
      <w:pPr>
        <w:ind w:right="280" w:firstLine="490"/>
        <w:spacing w:after="0" w:line="252" w:lineRule="auto"/>
        <w:rPr>
          <w:sz w:val="20"/>
          <w:szCs w:val="20"/>
          <w:color w:val="auto"/>
        </w:rPr>
      </w:pPr>
      <w:r>
        <w:rPr>
          <w:rFonts w:ascii="Times New Roman" w:cs="Times New Roman" w:eastAsia="Times New Roman" w:hAnsi="Times New Roman"/>
          <w:sz w:val="20"/>
          <w:szCs w:val="20"/>
          <w:color w:val="292929"/>
        </w:rPr>
        <w:t>In recent years our company and other restaurant companies have been subject to lawsuits alleging violations of federal and state laws regarding workplace and employment conditions, discrimination and similar matters, and some restaurants have been subject to class action lawsuits in respect of such matters. A number of these lawsuits have resulted in the payment of substantial damages by the defendants. Similar lawsuits have been brought alleging</w:t>
      </w:r>
    </w:p>
    <w:p>
      <w:pPr>
        <w:sectPr>
          <w:pgSz w:w="12240" w:h="15840" w:orient="portrait"/>
          <w:cols w:equalWidth="0" w:num="1">
            <w:col w:w="9540"/>
          </w:cols>
          <w:pgMar w:left="1260" w:top="1227"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540"/>
          </w:cols>
          <w:pgMar w:left="1260" w:top="1227" w:right="1440" w:bottom="355" w:gutter="0" w:footer="0" w:header="0"/>
          <w:type w:val="continuous"/>
        </w:sectPr>
      </w:pPr>
    </w:p>
    <w:bookmarkStart w:id="26" w:name="page27"/>
    <w:bookmarkEnd w:id="26"/>
    <w:p>
      <w:pPr>
        <w:ind w:right="320"/>
        <w:spacing w:after="0" w:line="252" w:lineRule="auto"/>
        <w:rPr>
          <w:sz w:val="20"/>
          <w:szCs w:val="20"/>
          <w:color w:val="auto"/>
        </w:rPr>
      </w:pPr>
      <w:r>
        <w:rPr>
          <w:rFonts w:ascii="Times New Roman" w:cs="Times New Roman" w:eastAsia="Times New Roman" w:hAnsi="Times New Roman"/>
          <w:sz w:val="20"/>
          <w:szCs w:val="20"/>
          <w:color w:val="292929"/>
        </w:rPr>
        <w:t>violations of various federal and state wage and hour laws regarding, among other things, employee meal deductions, overtime eligibility of managers and failure to pay for all hours worked. We have been named in lawsuits like this, and there can be no assurance that we will not be named in any such lawsuits in the future or that we would not be required to pay substantial expenses and/or damages.</w:t>
      </w:r>
    </w:p>
    <w:p>
      <w:pPr>
        <w:spacing w:after="0" w:line="194" w:lineRule="exact"/>
        <w:rPr>
          <w:sz w:val="20"/>
          <w:szCs w:val="20"/>
          <w:color w:val="auto"/>
        </w:rPr>
      </w:pPr>
    </w:p>
    <w:p>
      <w:pPr>
        <w:ind w:right="220" w:firstLine="490"/>
        <w:spacing w:after="0" w:line="247" w:lineRule="auto"/>
        <w:rPr>
          <w:sz w:val="20"/>
          <w:szCs w:val="20"/>
          <w:color w:val="auto"/>
        </w:rPr>
      </w:pPr>
      <w:r>
        <w:rPr>
          <w:rFonts w:ascii="Times New Roman" w:cs="Times New Roman" w:eastAsia="Times New Roman" w:hAnsi="Times New Roman"/>
          <w:sz w:val="20"/>
          <w:szCs w:val="20"/>
          <w:color w:val="292929"/>
        </w:rPr>
        <w:t>Regardless of whether any claims against us are valid, or whether we are ultimately held liable, claims may be expensive to defend and may divert time and money away from our operations and hurt our performance. A judgment in excess of our insurance coverage for any claims could materially and adversely affect our business, financial condition or results of operations. Any adverse publicity resulting from these allegations may also materially and adversely affect our reputation or prospects, which in turn could materially adversely affect our business, financial condition or results of operations.</w:t>
      </w:r>
    </w:p>
    <w:p>
      <w:pPr>
        <w:spacing w:after="0" w:line="200" w:lineRule="exact"/>
        <w:rPr>
          <w:sz w:val="20"/>
          <w:szCs w:val="20"/>
          <w:color w:val="auto"/>
        </w:rPr>
      </w:pPr>
    </w:p>
    <w:p>
      <w:pPr>
        <w:ind w:right="280" w:firstLine="490"/>
        <w:spacing w:after="0" w:line="245" w:lineRule="auto"/>
        <w:rPr>
          <w:sz w:val="20"/>
          <w:szCs w:val="20"/>
          <w:color w:val="auto"/>
        </w:rPr>
      </w:pPr>
      <w:r>
        <w:rPr>
          <w:rFonts w:ascii="Times New Roman" w:cs="Times New Roman" w:eastAsia="Times New Roman" w:hAnsi="Times New Roman"/>
          <w:sz w:val="20"/>
          <w:szCs w:val="20"/>
          <w:color w:val="292929"/>
        </w:rPr>
        <w:t>We are subject to state and local “dram shop” statutes, which may subject us to uninsured liabilities. These statutes generally allow a person injured by an intoxicated person to recover damages from an establishment that wrongfully served alcoholic beverages to the intoxicated person. Because a plaintiff may seek punitive damages, which may not be fully covered by insurance, this type of action could have an adverse impact on our business, financial condition or results of operations. A judgment in such an action significantly in excess of, or not covered by, our insurance coverage could adversely affect our business, financial condition or results of operations. Further, adverse publicity resulting from any such allegations may adversely affect our business, financial condition or results of operations.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92929"/>
        </w:rPr>
        <w:t>Our current insurance may not provide adequate levels of coverage against claims.</w:t>
      </w:r>
    </w:p>
    <w:p>
      <w:pPr>
        <w:spacing w:after="0" w:line="120" w:lineRule="exact"/>
        <w:rPr>
          <w:sz w:val="20"/>
          <w:szCs w:val="20"/>
          <w:color w:val="auto"/>
        </w:rPr>
      </w:pPr>
    </w:p>
    <w:p>
      <w:pPr>
        <w:ind w:right="220" w:firstLine="490"/>
        <w:spacing w:after="0" w:line="245" w:lineRule="auto"/>
        <w:rPr>
          <w:sz w:val="20"/>
          <w:szCs w:val="20"/>
          <w:color w:val="auto"/>
        </w:rPr>
      </w:pPr>
      <w:r>
        <w:rPr>
          <w:rFonts w:ascii="Times New Roman" w:cs="Times New Roman" w:eastAsia="Times New Roman" w:hAnsi="Times New Roman"/>
          <w:sz w:val="20"/>
          <w:szCs w:val="20"/>
          <w:color w:val="292929"/>
        </w:rPr>
        <w:t>There are types of losses we may incur that cannot be insured against or that we believe are not economically reasonable to insure. Such losses could have a material adverse effect on our business, financial condition or results of operations. In addition, our current insurance policies may not be adequate to protect us from liabilities that we incur in our business in areas such as workers’ compensation, general liability, auto and property. In the future, our insurance premiums may increase, and we may not be able to obtain similar levels of insurance on reasonable terms, or at all. Any substantial inadequacy of, or inability to obtain, insurance coverage could materially adversely affect our business, financial condition and results of operations. Failure to maintain adequate directors’ and officers’ insurance would likely adversely affect our ability to attract and retain qualified officers and directors.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Tax Matters</w:t>
      </w:r>
    </w:p>
    <w:p>
      <w:pPr>
        <w:spacing w:after="0" w:line="124"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b w:val="1"/>
          <w:bCs w:val="1"/>
          <w:i w:val="1"/>
          <w:iCs w:val="1"/>
          <w:color w:val="292929"/>
        </w:rPr>
        <w:t>GEN Inc. will depend on distributions from GEN LLC to pay any taxes and other expenses, including payments under the Tax Receivable Agreement</w:t>
      </w:r>
      <w:r>
        <w:rPr>
          <w:rFonts w:ascii="Times New Roman" w:cs="Times New Roman" w:eastAsia="Times New Roman" w:hAnsi="Times New Roman"/>
          <w:sz w:val="20"/>
          <w:szCs w:val="20"/>
          <w:i w:val="1"/>
          <w:iCs w:val="1"/>
          <w:color w:val="292929"/>
        </w:rPr>
        <w:t>.</w:t>
      </w:r>
    </w:p>
    <w:p>
      <w:pPr>
        <w:spacing w:after="0" w:line="49" w:lineRule="exact"/>
        <w:rPr>
          <w:sz w:val="20"/>
          <w:szCs w:val="20"/>
          <w:color w:val="auto"/>
        </w:rPr>
      </w:pPr>
    </w:p>
    <w:p>
      <w:pPr>
        <w:ind w:right="180" w:firstLine="490"/>
        <w:spacing w:after="0" w:line="255" w:lineRule="auto"/>
        <w:rPr>
          <w:sz w:val="20"/>
          <w:szCs w:val="20"/>
          <w:color w:val="auto"/>
        </w:rPr>
      </w:pPr>
      <w:r>
        <w:rPr>
          <w:rFonts w:ascii="Times New Roman" w:cs="Times New Roman" w:eastAsia="Times New Roman" w:hAnsi="Times New Roman"/>
          <w:sz w:val="19"/>
          <w:szCs w:val="19"/>
          <w:color w:val="292929"/>
        </w:rPr>
        <w:t>GEN Inc. is a holding company and, its only business is to act as the managing member of GEN LLC, and its only material assets are Class A units representing approximately 12.8% of the membership interests of GEN LLC (the underwriters exercised their option to purchase additional shares of Class A common stock in full) as of the transaction date. As of December 31, 2025, the Class A units represent approximately 16.0% of the membership interests of GEN LLC. GEN Inc. does not have any independent means of generating revenue. We anticipate that GEN LLC will continue to be treated as a partnership for U.S. federal income tax purposes and, as such, generally will not be subject to any entity-level U.S. federal income tax. Instead, taxable income will be allocated to the members of GEN LLC. Accordingly, GEN Inc. will be required to pay income taxes on its allocable share of any net taxable income of GEN LLC. We intend to cause GEN LLC to make distributions to each of its members, including GEN Inc., in an amount intended to enable each member to pay applicable taxes on taxable income allocable to such member and to allow GEN Inc. to make payments under the Tax Receivable Agreement, which are expected to be substantial. In addition, GEN LLC will reimburse GEN Inc. for corporate and other overhead expenses. If the amount of tax distributions to be made exceeds the amount of funds available for distribution, GEN Inc. shall receive a tax distribution calculated using the corporate rate before the other members receive any distribution and the balance of funds available for distribution, if any, shall be distributed to the other members accordance with the GEN LLC Agreement. To the extent that GEN Inc. requires additional capital, and GEN LLC is restricted from making such distributions under applicable laws or regulations, or is otherwise unable to provide such funds, it could materially and adversely affect GEN Inc.’s ability to pay taxes and other expenses, including payments under the</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540"/>
          </w:cols>
          <w:pgMar w:left="1260" w:top="1240" w:right="1440" w:bottom="355" w:gutter="0" w:footer="0" w:header="0"/>
          <w:type w:val="continuous"/>
        </w:sectPr>
      </w:pPr>
    </w:p>
    <w:bookmarkStart w:id="27" w:name="page28"/>
    <w:bookmarkEnd w:id="27"/>
    <w:p>
      <w:pPr>
        <w:jc w:val="both"/>
        <w:ind w:right="880"/>
        <w:spacing w:after="0" w:line="305" w:lineRule="auto"/>
        <w:rPr>
          <w:sz w:val="20"/>
          <w:szCs w:val="20"/>
          <w:color w:val="auto"/>
        </w:rPr>
      </w:pPr>
      <w:r>
        <w:rPr>
          <w:rFonts w:ascii="Times New Roman" w:cs="Times New Roman" w:eastAsia="Times New Roman" w:hAnsi="Times New Roman"/>
          <w:sz w:val="19"/>
          <w:szCs w:val="19"/>
          <w:color w:val="292929"/>
        </w:rPr>
        <w:t>Tax Receivable Agreement, and affect our liquidity and financial condition. In addition, although we do not currently expect to pay dividends, such restrictions could affect our ability to pay any dividends, if declared.</w:t>
      </w:r>
    </w:p>
    <w:p>
      <w:pPr>
        <w:spacing w:after="0" w:line="265" w:lineRule="exact"/>
        <w:rPr>
          <w:sz w:val="20"/>
          <w:szCs w:val="20"/>
          <w:color w:val="auto"/>
        </w:rPr>
      </w:pPr>
    </w:p>
    <w:p>
      <w:pPr>
        <w:ind w:right="320"/>
        <w:spacing w:after="0" w:line="305" w:lineRule="auto"/>
        <w:rPr>
          <w:sz w:val="20"/>
          <w:szCs w:val="20"/>
          <w:color w:val="auto"/>
        </w:rPr>
      </w:pPr>
      <w:r>
        <w:rPr>
          <w:rFonts w:ascii="Times New Roman" w:cs="Times New Roman" w:eastAsia="Times New Roman" w:hAnsi="Times New Roman"/>
          <w:sz w:val="19"/>
          <w:szCs w:val="19"/>
          <w:b w:val="1"/>
          <w:bCs w:val="1"/>
          <w:i w:val="1"/>
          <w:iCs w:val="1"/>
          <w:color w:val="292929"/>
        </w:rPr>
        <w:t>The IRS, might challenge the tax basis step-ups and other tax benefits we received in connection with our initial public offering and the related transactions and in connection with future acquisitions of GEN LLC units</w:t>
      </w:r>
      <w:r>
        <w:rPr>
          <w:rFonts w:ascii="Times New Roman" w:cs="Times New Roman" w:eastAsia="Times New Roman" w:hAnsi="Times New Roman"/>
          <w:sz w:val="19"/>
          <w:szCs w:val="19"/>
          <w:i w:val="1"/>
          <w:iCs w:val="1"/>
          <w:color w:val="292929"/>
        </w:rPr>
        <w:t>.</w:t>
      </w:r>
    </w:p>
    <w:p>
      <w:pPr>
        <w:spacing w:after="0" w:line="25" w:lineRule="exact"/>
        <w:rPr>
          <w:sz w:val="20"/>
          <w:szCs w:val="20"/>
          <w:color w:val="auto"/>
        </w:rPr>
      </w:pPr>
    </w:p>
    <w:p>
      <w:pPr>
        <w:ind w:right="180" w:firstLine="490"/>
        <w:spacing w:after="0" w:line="243" w:lineRule="auto"/>
        <w:rPr>
          <w:sz w:val="20"/>
          <w:szCs w:val="20"/>
          <w:color w:val="auto"/>
        </w:rPr>
      </w:pPr>
      <w:r>
        <w:rPr>
          <w:rFonts w:ascii="Times New Roman" w:cs="Times New Roman" w:eastAsia="Times New Roman" w:hAnsi="Times New Roman"/>
          <w:sz w:val="20"/>
          <w:szCs w:val="20"/>
          <w:color w:val="292929"/>
        </w:rPr>
        <w:t>GEN Inc. may in the future acquire GEN LLC units in exchange for shares of our Class A common stock or, at our election, cash. Those acquisitions and exchanges are expected to result in increases in the tax basis of the assets of GEN LLC reflecting the difference between the price GEN Inc. pays to acquire GEN LLC units and the tax basis of the assets of GEN LLC at the time of the acquisition. These increases in tax basis are expected to increase (for tax purposes) GEN Inc.’s depreciation and amortization and, together with other tax benefits, reduce the amount of tax that GEN Inc. would otherwise be required to pay, although it is possible that the IRS might challenge all or part of these tax basis increases or other tax benefits, and a court might sustain such a challenge. Additionally, GEN Inc.’s ability to benefit from any tax basis increases or other tax benefits will depend upon a number of factors, as discussed below, including the timing and amount of our future income. We will not be reimbursed for any payments previously made under the Tax Receivable Agreement if the basis increases or other tax benefits described above are successfully challenged by the IRS or another taxing authority. As a result, in certain circumstances, payments could be made under the Tax Receivable Agreement in excess of our ultimate cash tax savings.</w:t>
      </w:r>
    </w:p>
    <w:p>
      <w:pPr>
        <w:spacing w:after="0" w:line="326"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0"/>
          <w:szCs w:val="20"/>
          <w:b w:val="1"/>
          <w:bCs w:val="1"/>
          <w:i w:val="1"/>
          <w:iCs w:val="1"/>
          <w:color w:val="292929"/>
        </w:rPr>
        <w:t>GEN Inc. will be required to pay over to members of GEN LLC most of the tax benefits GEN Inc. receives from tax basis step-ups (and certain other tax benefits) attributable to its acquisition of units of GEN LLC in the future, and the amount of those payments are expected to be substantial.</w:t>
      </w:r>
    </w:p>
    <w:p>
      <w:pPr>
        <w:spacing w:after="0" w:line="68" w:lineRule="exact"/>
        <w:rPr>
          <w:sz w:val="20"/>
          <w:szCs w:val="20"/>
          <w:color w:val="auto"/>
        </w:rPr>
      </w:pPr>
    </w:p>
    <w:p>
      <w:pPr>
        <w:ind w:right="240" w:firstLine="490"/>
        <w:spacing w:after="0" w:line="243" w:lineRule="auto"/>
        <w:rPr>
          <w:sz w:val="20"/>
          <w:szCs w:val="20"/>
          <w:color w:val="auto"/>
        </w:rPr>
      </w:pPr>
      <w:r>
        <w:rPr>
          <w:rFonts w:ascii="Times New Roman" w:cs="Times New Roman" w:eastAsia="Times New Roman" w:hAnsi="Times New Roman"/>
          <w:sz w:val="20"/>
          <w:szCs w:val="20"/>
          <w:color w:val="292929"/>
        </w:rPr>
        <w:t>GEN Inc. entered into the Tax Receivable Agreement with members of GEN LLC (not including GEN Inc.). The Tax Receivable Agreement provides for payment by GEN Inc. to members of GEN LLC or their permitted assignees (not including GEN Inc.) of 85% of the amount of the net cash tax savings, if any, that GEN Inc. realizes (or, under certain circumstances, is deemed to realize) as a result of (i) increases in tax basis (and utilization of certain other tax benefits) resulting from GEN Inc.’s acquisition of a member’s GEN LLC units in future exchanges and (ii) any payments GEN Inc. makes under the Tax Receivable Agreement (including tax benefits related to imputed interest). Generally, payments under the Tax Receivable Agreement will be made to certain members of GEN LLC pursuant to the terms of the Tax Receivable Agreement. Such payments will reduce the cash provided by the tax savings previously described that would otherwise have been available to GEN Inc. for other uses, including reinvestment or dividends to GEN Inc. Class A stockholders. GEN Inc. will retain the benefit of the remaining 15% of these net cash tax savings.</w:t>
      </w:r>
    </w:p>
    <w:p>
      <w:pPr>
        <w:spacing w:after="0" w:line="209" w:lineRule="exact"/>
        <w:rPr>
          <w:sz w:val="20"/>
          <w:szCs w:val="20"/>
          <w:color w:val="auto"/>
        </w:rPr>
      </w:pPr>
    </w:p>
    <w:p>
      <w:pPr>
        <w:ind w:right="180" w:firstLine="490"/>
        <w:spacing w:after="0" w:line="242" w:lineRule="auto"/>
        <w:rPr>
          <w:sz w:val="20"/>
          <w:szCs w:val="20"/>
          <w:color w:val="auto"/>
        </w:rPr>
      </w:pPr>
      <w:r>
        <w:rPr>
          <w:rFonts w:ascii="Times New Roman" w:cs="Times New Roman" w:eastAsia="Times New Roman" w:hAnsi="Times New Roman"/>
          <w:sz w:val="20"/>
          <w:szCs w:val="20"/>
          <w:color w:val="292929"/>
        </w:rPr>
        <w:t>The term of the Tax Receivable Agreement commenced upon the completion of our initial public offering and will continue until all tax benefits that are subject to the Tax Receivable Agreement have been utilized or have expired, unless we exercise our right to terminate the Tax Receivable Agreement (or it is terminated due to a change in control or our breach of a material obligation thereunder), in which case, GEN Inc. will be required to make the termination payment specified in the Tax Receivable Agreement. The payments under the Tax Receivable Agreement are not conditioned upon a recipient’s continued ownership in GEN LLC or GEN Inc. In addition, payments we make under the Tax Receivable Agreement will be increased by any interest accrued from the due date (without extensions) of the corresponding tax return. Based on certain assumptions, including no material changes in the relevant tax law and that we earn sufficient taxable income to realize the full tax benefit of the increased amortization of our assets and the net operating losses (and similar items), we expect that future payments to the holders of rights under the Tax Receivable Agreement will equal $99.6 million in the aggregate, based on the price of our Class A common stock of $12.00 per share, although the actual future payments to the members of GEN LLC will vary based on the factors discussed below, and estimating the amount and timing of payments that may be made under the Tax Receivable Agreement is by its nature imprecise, as the calculation of amounts payable depends on a variety of factors and future events. We expect to receive distributions from GEN LLC in order to make any required payments under the Tax Receivable Agreement. However, we may need to incur debt to finance payments under the Tax Receivable Agreement to the extent such distributions or our cash resources are insufficient to meet our obligations under the Tax Receivable Agreement as a result of timing discrepancies or otherwise.</w:t>
      </w:r>
    </w:p>
    <w:p>
      <w:pPr>
        <w:spacing w:after="0" w:line="206" w:lineRule="exact"/>
        <w:rPr>
          <w:sz w:val="20"/>
          <w:szCs w:val="20"/>
          <w:color w:val="auto"/>
        </w:rPr>
      </w:pPr>
    </w:p>
    <w:p>
      <w:pPr>
        <w:ind w:right="340" w:firstLine="490"/>
        <w:spacing w:after="0" w:line="277" w:lineRule="auto"/>
        <w:rPr>
          <w:sz w:val="20"/>
          <w:szCs w:val="20"/>
          <w:color w:val="auto"/>
        </w:rPr>
      </w:pPr>
      <w:r>
        <w:rPr>
          <w:rFonts w:ascii="Times New Roman" w:cs="Times New Roman" w:eastAsia="Times New Roman" w:hAnsi="Times New Roman"/>
          <w:sz w:val="20"/>
          <w:szCs w:val="20"/>
          <w:color w:val="292929"/>
        </w:rPr>
        <w:t>The actual increase in tax basis, as well as the amount and timing of any payments under the Tax Receivable Agreement, will vary depending on a number of factors, including the price of our Class A common stock at the</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540"/>
          </w:cols>
          <w:pgMar w:left="1260" w:top="1240" w:right="1440" w:bottom="355" w:gutter="0" w:footer="0" w:header="0"/>
          <w:type w:val="continuous"/>
        </w:sectPr>
      </w:pPr>
    </w:p>
    <w:bookmarkStart w:id="28" w:name="page29"/>
    <w:bookmarkEnd w:id="28"/>
    <w:p>
      <w:pPr>
        <w:ind w:right="200"/>
        <w:spacing w:after="0" w:line="243" w:lineRule="auto"/>
        <w:rPr>
          <w:sz w:val="20"/>
          <w:szCs w:val="20"/>
          <w:color w:val="auto"/>
        </w:rPr>
      </w:pPr>
      <w:r>
        <w:rPr>
          <w:rFonts w:ascii="Times New Roman" w:cs="Times New Roman" w:eastAsia="Times New Roman" w:hAnsi="Times New Roman"/>
          <w:sz w:val="20"/>
          <w:szCs w:val="20"/>
          <w:color w:val="292929"/>
        </w:rPr>
        <w:t>time of the exchange; the timing of future exchanges; the extent to which exchanges are taxable; the amount and timing of the utilization of tax attributes; the amount, timing and character of GEN Inc.’s income; the U.S. federal, state and local tax rates then applicable; the amount of each exchanging unitholder’s tax basis in its units at the time of the relevant exchange; the depreciation and amortization periods that apply to the increases in tax basis; the timing and amount of any earlier payments that GEN Inc. may have made under the Tax Receivable Agreement and the portion of GEN Inc.’s payments under the Tax Receivable Agreement that constitute imputed interest or give rise to depreciable or amortizable tax basis. We expect that, as a result of the increases in the tax basis of the tangible and intangible assets of GEN LLC attributable to the acquired or exchanged GEN LLC interests, and certain other tax benefits, the payments that GEN Inc. will be required to make to the holders of rights under the Tax Receivable Agreement will be substantial. There may be a material negative effect on our financial condition and liquidity if, as described below, the payments under the Tax Receivable Agreement exceed the actual benefits GEN Inc. receives in respect of the tax attributes subject to the Tax Receivable Agreement and/or distributions to GEN Inc. by GEN LLC are not sufficient to permit GEN Inc. to make payments under the Tax Receivable Agreement.</w:t>
      </w:r>
    </w:p>
    <w:p>
      <w:pPr>
        <w:spacing w:after="0" w:line="323" w:lineRule="exact"/>
        <w:rPr>
          <w:sz w:val="20"/>
          <w:szCs w:val="20"/>
          <w:color w:val="auto"/>
        </w:rPr>
      </w:pPr>
    </w:p>
    <w:p>
      <w:pPr>
        <w:ind w:right="880"/>
        <w:spacing w:after="0" w:line="277" w:lineRule="auto"/>
        <w:rPr>
          <w:sz w:val="20"/>
          <w:szCs w:val="20"/>
          <w:color w:val="auto"/>
        </w:rPr>
      </w:pPr>
      <w:r>
        <w:rPr>
          <w:rFonts w:ascii="Times New Roman" w:cs="Times New Roman" w:eastAsia="Times New Roman" w:hAnsi="Times New Roman"/>
          <w:sz w:val="20"/>
          <w:szCs w:val="20"/>
          <w:b w:val="1"/>
          <w:bCs w:val="1"/>
          <w:i w:val="1"/>
          <w:iCs w:val="1"/>
          <w:color w:val="292929"/>
        </w:rPr>
        <w:t>In certain circumstances, including at our option, payments under the Tax Receivable Agreement may be accelerated and/or significantly exceed the actual tax benefits, if any, that GEN Inc. actually realizes.</w:t>
      </w:r>
    </w:p>
    <w:p>
      <w:pPr>
        <w:spacing w:after="0" w:line="49" w:lineRule="exact"/>
        <w:rPr>
          <w:sz w:val="20"/>
          <w:szCs w:val="20"/>
          <w:color w:val="auto"/>
        </w:rPr>
      </w:pPr>
    </w:p>
    <w:p>
      <w:pPr>
        <w:ind w:right="200" w:firstLine="490"/>
        <w:spacing w:after="0" w:line="242" w:lineRule="auto"/>
        <w:rPr>
          <w:sz w:val="20"/>
          <w:szCs w:val="20"/>
          <w:color w:val="auto"/>
        </w:rPr>
      </w:pPr>
      <w:r>
        <w:rPr>
          <w:rFonts w:ascii="Times New Roman" w:cs="Times New Roman" w:eastAsia="Times New Roman" w:hAnsi="Times New Roman"/>
          <w:sz w:val="20"/>
          <w:szCs w:val="20"/>
          <w:color w:val="292929"/>
        </w:rPr>
        <w:t>The Tax Receivable Agreement provides that if (i) GEN Inc. exercises its right to early termination of the Tax Receivable Agreement in whole(that is, with respect to all benefits due to all beneficiaries under the Tax Receivable Agreement) or in part (that is, with respect to some benefits due to all beneficiaries under the Tax Receivable Agreement), (ii) GEN Inc. experiences certain changes in control,(iii) the Tax Receivable Agreement is rejected in certain bankruptcy proceedings, (iv) GEN Inc. fails (subject to certain exceptions) to make a payment under the Tax Receivable Agreement or (v) GEN Inc. materially breaches its obligations under the Tax Receivable Agreement, in each of (iii), (iv) and (v), if such failure is not cured within 90 days, GEN Inc. will be obligated to make an early termination payment to holders of rights under the Tax Receivable Agreement equal to the present value of all payments that would be required to be paid by GEN Inc. under the Tax Receivable Agreement. The amount of such payments will be determined on the basis of certain assumptions in the Tax Receivable Agreement. If we were to elect to terminate the Tax Receivable Agreement immediately after this offering, based on an initial public offering price of $12.00 per share of our Class A Common Stock, we estimate that we would be required to pay approximately $56.6 million in the aggregate under the Tax Receivable Agreement. We note, however, that the analysis set forth above assumes no material changes in the relevant tax law. Any early termination payment may be made significantly in advance of the actual realization, if any, of the future tax benefits to which the termination payment relates. The amount of the early termination payment is determined by discounting the present value of all payments that would be required to be paid by GEN Inc. under the Tax Receivable Agreement at a rate equal to the lesser of (a) 6.5% and (b) the Secured Overnight Financing Rate, as reported by the Wall Street Journal (SOFR) plus 400 basis points.</w:t>
      </w:r>
    </w:p>
    <w:p>
      <w:pPr>
        <w:spacing w:after="0" w:line="204" w:lineRule="exact"/>
        <w:rPr>
          <w:sz w:val="20"/>
          <w:szCs w:val="20"/>
          <w:color w:val="auto"/>
        </w:rPr>
      </w:pPr>
    </w:p>
    <w:p>
      <w:pPr>
        <w:ind w:right="260" w:firstLine="490"/>
        <w:spacing w:after="0" w:line="244" w:lineRule="auto"/>
        <w:rPr>
          <w:sz w:val="20"/>
          <w:szCs w:val="20"/>
          <w:color w:val="auto"/>
        </w:rPr>
      </w:pPr>
      <w:r>
        <w:rPr>
          <w:rFonts w:ascii="Times New Roman" w:cs="Times New Roman" w:eastAsia="Times New Roman" w:hAnsi="Times New Roman"/>
          <w:sz w:val="20"/>
          <w:szCs w:val="20"/>
          <w:color w:val="292929"/>
        </w:rPr>
        <w:t>Moreover, as a result of an elective early termination, a change in control or GEN Inc.’s material breach of its obligations under the Tax Receivable Agreement, GEN Inc. could be required to make payments under the Tax Receivable Agreement that exceed its actual cash savings under that Tax Receivable Agreement. Thus, GEN Inc.’s obligations under the Tax Receivable Agreement could have a substantial negative effect on its financial condition and liquidity and could have the effect of delaying, deferring or preventing certain mergers, asset sales, or other forms of business combinations or changes of control. We cannot assure you that we will be able to finance any early termination payment. It is also possible that the actual benefits ultimately realized by us may be significantly less than were projected in the computation of the early termination payment. We will not be reimbursed if the actual benefits ultimately realized by us are less than were projected in the computation of the early termination payment.</w:t>
      </w:r>
    </w:p>
    <w:p>
      <w:pPr>
        <w:spacing w:after="0" w:line="202" w:lineRule="exact"/>
        <w:rPr>
          <w:sz w:val="20"/>
          <w:szCs w:val="20"/>
          <w:color w:val="auto"/>
        </w:rPr>
      </w:pPr>
    </w:p>
    <w:p>
      <w:pPr>
        <w:ind w:right="180" w:firstLine="490"/>
        <w:spacing w:after="0" w:line="245" w:lineRule="auto"/>
        <w:rPr>
          <w:sz w:val="20"/>
          <w:szCs w:val="20"/>
          <w:color w:val="auto"/>
        </w:rPr>
      </w:pPr>
      <w:r>
        <w:rPr>
          <w:rFonts w:ascii="Times New Roman" w:cs="Times New Roman" w:eastAsia="Times New Roman" w:hAnsi="Times New Roman"/>
          <w:sz w:val="20"/>
          <w:szCs w:val="20"/>
          <w:color w:val="292929"/>
        </w:rPr>
        <w:t>Payments under the Tax Receivable Agreement will be based on the tax reporting positions that we will determine and the IRS or another tax authority may challenge all or part of the tax basis increases, as well as other related tax positions we take, and a court could sustain such a challenge. GEN Inc. will not be reimbursed for any payments previously made under either of the Tax Receivable Agreement if the basis increases described above are successfully challenged by the IRS or another taxing authority. As a result, in certain circumstances, payments could be made under the Tax Receivable Agreement that are significantly in excess of the benefit that GEN Inc. actually realizes in respect of the increases in tax basis (and utilization of certain other tax benefits) and GEN Inc. may not be able to recoup those payments, which could adversely affect GEN Inc.’s financial condition and liquidity.</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540"/>
          </w:cols>
          <w:pgMar w:left="1260" w:top="1240" w:right="1440" w:bottom="355" w:gutter="0" w:footer="0" w:header="0"/>
          <w:type w:val="continuous"/>
        </w:sectPr>
      </w:pPr>
    </w:p>
    <w:bookmarkStart w:id="29" w:name="page30"/>
    <w:bookmarkEnd w:id="29"/>
    <w:p>
      <w:pPr>
        <w:ind w:right="340"/>
        <w:spacing w:after="0" w:line="277" w:lineRule="auto"/>
        <w:rPr>
          <w:sz w:val="20"/>
          <w:szCs w:val="20"/>
          <w:color w:val="auto"/>
        </w:rPr>
      </w:pPr>
      <w:r>
        <w:rPr>
          <w:rFonts w:ascii="Times New Roman" w:cs="Times New Roman" w:eastAsia="Times New Roman" w:hAnsi="Times New Roman"/>
          <w:sz w:val="20"/>
          <w:szCs w:val="20"/>
          <w:b w:val="1"/>
          <w:bCs w:val="1"/>
          <w:i w:val="1"/>
          <w:iCs w:val="1"/>
          <w:color w:val="292929"/>
        </w:rPr>
        <w:t>In certain circumstances, GEN LLC will be required to make distributions to us and the other members of GEN LLC, and the distributions that GEN LLC will be required to make may be substantial</w:t>
      </w:r>
      <w:r>
        <w:rPr>
          <w:rFonts w:ascii="Times New Roman" w:cs="Times New Roman" w:eastAsia="Times New Roman" w:hAnsi="Times New Roman"/>
          <w:sz w:val="20"/>
          <w:szCs w:val="20"/>
          <w:i w:val="1"/>
          <w:iCs w:val="1"/>
          <w:color w:val="292929"/>
        </w:rPr>
        <w:t>.</w:t>
      </w:r>
    </w:p>
    <w:p>
      <w:pPr>
        <w:spacing w:after="0" w:line="49" w:lineRule="exact"/>
        <w:rPr>
          <w:sz w:val="20"/>
          <w:szCs w:val="20"/>
          <w:color w:val="auto"/>
        </w:rPr>
      </w:pPr>
    </w:p>
    <w:p>
      <w:pPr>
        <w:ind w:right="200" w:firstLine="490"/>
        <w:spacing w:after="0" w:line="244" w:lineRule="auto"/>
        <w:rPr>
          <w:sz w:val="20"/>
          <w:szCs w:val="20"/>
          <w:color w:val="auto"/>
        </w:rPr>
      </w:pPr>
      <w:r>
        <w:rPr>
          <w:rFonts w:ascii="Times New Roman" w:cs="Times New Roman" w:eastAsia="Times New Roman" w:hAnsi="Times New Roman"/>
          <w:sz w:val="20"/>
          <w:szCs w:val="20"/>
          <w:color w:val="292929"/>
        </w:rPr>
        <w:t>GEN LLC is expected to continue to be treated as a partnership for U.S. federal income tax purposes and, as such, is generally not directly subject to U.S. federal income tax. Instead, taxable income will be allocated to members, including GEN Inc. Pursuant to the GEN LLC Agreement, GEN LLC will make tax distributions to its members, including GEN Inc., which generally will be made pro rata based on the ownership of GEN LLC units, calculated using an assumed tax rate, to help each of the members to pay taxes on that member’s allocable share of GEN LLC’s net taxable income. Under applicable tax rules, GEN LLC is required to allocate net taxable income disproportionately to its members in certain circumstances, and GEN LLC may be required to make tax distributions that, in the aggregate, exceed the aggregate amount of taxes payable by its members with respect to the allocation of GEN LLC income.</w:t>
      </w:r>
    </w:p>
    <w:p>
      <w:pPr>
        <w:spacing w:after="0" w:line="206" w:lineRule="exact"/>
        <w:rPr>
          <w:sz w:val="20"/>
          <w:szCs w:val="20"/>
          <w:color w:val="auto"/>
        </w:rPr>
      </w:pPr>
    </w:p>
    <w:p>
      <w:pPr>
        <w:ind w:right="220" w:firstLine="490"/>
        <w:spacing w:after="0" w:line="246" w:lineRule="auto"/>
        <w:rPr>
          <w:sz w:val="20"/>
          <w:szCs w:val="20"/>
          <w:color w:val="auto"/>
        </w:rPr>
      </w:pPr>
      <w:r>
        <w:rPr>
          <w:rFonts w:ascii="Times New Roman" w:cs="Times New Roman" w:eastAsia="Times New Roman" w:hAnsi="Times New Roman"/>
          <w:sz w:val="20"/>
          <w:szCs w:val="20"/>
          <w:color w:val="292929"/>
        </w:rPr>
        <w:t>Funds used by GEN LLC to satisfy its tax distribution obligations will not be available for reinvestment in our business. Moreover, the tax distributions GEN LLC will be required to make may be substantial, and may significantly exceed (as a percentage of GEN LLC’s income) the overall effective tax rate applicable to a similarly situated corporate taxpayer. In addition, because these payments will be calculated with reference to an assumed tax rate, and because of the disproportionate allocation of net taxable income, these payments may significantly exceed the actual tax liability for many of the existing members of GEN LLC. Any tax distributions made to the members of GEN LLC are treated as an advance against, and will reduce, future distributions.</w:t>
      </w:r>
    </w:p>
    <w:p>
      <w:pPr>
        <w:spacing w:after="0" w:line="200" w:lineRule="exact"/>
        <w:rPr>
          <w:sz w:val="20"/>
          <w:szCs w:val="20"/>
          <w:color w:val="auto"/>
        </w:rPr>
      </w:pPr>
    </w:p>
    <w:p>
      <w:pPr>
        <w:ind w:right="320" w:firstLine="490"/>
        <w:spacing w:after="0" w:line="247" w:lineRule="auto"/>
        <w:rPr>
          <w:sz w:val="20"/>
          <w:szCs w:val="20"/>
          <w:color w:val="auto"/>
        </w:rPr>
      </w:pPr>
      <w:r>
        <w:rPr>
          <w:rFonts w:ascii="Times New Roman" w:cs="Times New Roman" w:eastAsia="Times New Roman" w:hAnsi="Times New Roman"/>
          <w:sz w:val="20"/>
          <w:szCs w:val="20"/>
          <w:color w:val="292929"/>
        </w:rPr>
        <w:t>As a result of potential differences in the amount of net taxable income allocable to us and to the members of GEN LLC, as well as the use of an assumed tax rate in calculating GEN LLC’s distribution obligations, we may receive distributions significantly in excess of our tax liabilities and obligations to make payments under the Tax Receivable Agreement. We may choose to manage these excess distributions through a number of different approaches, including through the payment of dividends to our Class A common stockholders or by applying them to other corporate purposes.</w:t>
      </w:r>
    </w:p>
    <w:p>
      <w:pPr>
        <w:spacing w:after="0" w:line="320" w:lineRule="exact"/>
        <w:rPr>
          <w:sz w:val="20"/>
          <w:szCs w:val="20"/>
          <w:color w:val="auto"/>
        </w:rPr>
      </w:pPr>
    </w:p>
    <w:p>
      <w:pPr>
        <w:ind w:right="740"/>
        <w:spacing w:after="0" w:line="277" w:lineRule="auto"/>
        <w:rPr>
          <w:sz w:val="20"/>
          <w:szCs w:val="20"/>
          <w:color w:val="auto"/>
        </w:rPr>
      </w:pPr>
      <w:r>
        <w:rPr>
          <w:rFonts w:ascii="Times New Roman" w:cs="Times New Roman" w:eastAsia="Times New Roman" w:hAnsi="Times New Roman"/>
          <w:sz w:val="20"/>
          <w:szCs w:val="20"/>
          <w:b w:val="1"/>
          <w:bCs w:val="1"/>
          <w:i w:val="1"/>
          <w:iCs w:val="1"/>
          <w:color w:val="292929"/>
        </w:rPr>
        <w:t>Future changes to tax laws or our effective tax rate could materially and adversely affect our company and reduce net returns to our stockholders.</w:t>
      </w:r>
    </w:p>
    <w:p>
      <w:pPr>
        <w:spacing w:after="0" w:line="49" w:lineRule="exact"/>
        <w:rPr>
          <w:sz w:val="20"/>
          <w:szCs w:val="20"/>
          <w:color w:val="auto"/>
        </w:rPr>
      </w:pPr>
    </w:p>
    <w:p>
      <w:pPr>
        <w:ind w:right="200" w:firstLine="490"/>
        <w:spacing w:after="0" w:line="244" w:lineRule="auto"/>
        <w:rPr>
          <w:sz w:val="20"/>
          <w:szCs w:val="20"/>
          <w:color w:val="auto"/>
        </w:rPr>
      </w:pPr>
      <w:r>
        <w:rPr>
          <w:rFonts w:ascii="Times New Roman" w:cs="Times New Roman" w:eastAsia="Times New Roman" w:hAnsi="Times New Roman"/>
          <w:sz w:val="20"/>
          <w:szCs w:val="20"/>
          <w:color w:val="292929"/>
        </w:rPr>
        <w:t>Our tax treatment is subject to the enactment of, or changes in, tax laws, regulations and treaties, or the interpretation thereof, tax policy initiatives and reforms under consideration and the practices of tax authorities in various jurisdictions. Such changes may include (but are not limited to) the taxation of operating income, investment income, dividends received or (in the specific context of withholding tax) dividends paid, or the taxation of partnerships and other passthrough entities.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stockholders, and increase the complexity, burden and cost of tax compliance.</w:t>
      </w:r>
    </w:p>
    <w:p>
      <w:pPr>
        <w:spacing w:after="0" w:line="206" w:lineRule="exact"/>
        <w:rPr>
          <w:sz w:val="20"/>
          <w:szCs w:val="20"/>
          <w:color w:val="auto"/>
        </w:rPr>
      </w:pPr>
    </w:p>
    <w:p>
      <w:pPr>
        <w:ind w:right="200" w:firstLine="490"/>
        <w:spacing w:after="0" w:line="247" w:lineRule="auto"/>
        <w:rPr>
          <w:sz w:val="20"/>
          <w:szCs w:val="20"/>
          <w:color w:val="auto"/>
        </w:rPr>
      </w:pPr>
      <w:r>
        <w:rPr>
          <w:rFonts w:ascii="Times New Roman" w:cs="Times New Roman" w:eastAsia="Times New Roman" w:hAnsi="Times New Roman"/>
          <w:sz w:val="20"/>
          <w:szCs w:val="20"/>
          <w:color w:val="292929"/>
        </w:rPr>
        <w:t>Our businesses are subject to income taxation in the United States. Tax rates at the federal, state and local levels may be subject to significant change. If our effective tax rate increases, our operating results and cash flow could be adversely affected. Our effective income tax rate can vary significantly between periods due to a number of complex factors including, but not limited to, projected levels of taxable income in each jurisdiction, tax audits conducted and settled by various tax authorities, and adjustments to income taxes upon finalization of income tax returns.</w:t>
      </w:r>
    </w:p>
    <w:p>
      <w:pPr>
        <w:spacing w:after="0" w:line="320"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20"/>
          <w:szCs w:val="20"/>
          <w:b w:val="1"/>
          <w:bCs w:val="1"/>
          <w:i w:val="1"/>
          <w:iCs w:val="1"/>
          <w:color w:val="292929"/>
        </w:rPr>
        <w:t>We may be required to pay additional taxes because of the U.S. federal partnership audit rules and potentially also state and local tax rules.</w:t>
      </w:r>
    </w:p>
    <w:p>
      <w:pPr>
        <w:spacing w:after="0" w:line="49" w:lineRule="exact"/>
        <w:rPr>
          <w:sz w:val="20"/>
          <w:szCs w:val="20"/>
          <w:color w:val="auto"/>
        </w:rPr>
      </w:pPr>
    </w:p>
    <w:p>
      <w:pPr>
        <w:ind w:right="300" w:firstLine="490"/>
        <w:spacing w:after="0" w:line="265" w:lineRule="auto"/>
        <w:rPr>
          <w:sz w:val="20"/>
          <w:szCs w:val="20"/>
          <w:color w:val="auto"/>
        </w:rPr>
      </w:pPr>
      <w:r>
        <w:rPr>
          <w:rFonts w:ascii="Times New Roman" w:cs="Times New Roman" w:eastAsia="Times New Roman" w:hAnsi="Times New Roman"/>
          <w:sz w:val="19"/>
          <w:szCs w:val="19"/>
          <w:color w:val="292929"/>
        </w:rPr>
        <w:t>Under the U.S. federal partnership audit rules, subject to certain exceptions, audit adjustments to items of income, gain, loss, deduction, or credit of an entity (and any holder’s share thereof) are determined, and taxes, interest, and penalties attributable thereto, are assessed and collected, at the entity level. GEN LLC (or any of its applicable subsidiaries or other entities in which GEN LLC directly or indirectly invests that are treated as partnerships for U.S. federal income tax purposes) may be required to pay additional taxes, interest and penalties as</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540"/>
          </w:cols>
          <w:pgMar w:left="1260" w:top="1240" w:right="1440" w:bottom="355" w:gutter="0" w:footer="0" w:header="0"/>
          <w:type w:val="continuous"/>
        </w:sectPr>
      </w:pPr>
    </w:p>
    <w:bookmarkStart w:id="30" w:name="page31"/>
    <w:bookmarkEnd w:id="30"/>
    <w:p>
      <w:pPr>
        <w:ind w:right="180"/>
        <w:spacing w:after="0" w:line="247" w:lineRule="auto"/>
        <w:rPr>
          <w:sz w:val="20"/>
          <w:szCs w:val="20"/>
          <w:color w:val="auto"/>
        </w:rPr>
      </w:pPr>
      <w:r>
        <w:rPr>
          <w:rFonts w:ascii="Times New Roman" w:cs="Times New Roman" w:eastAsia="Times New Roman" w:hAnsi="Times New Roman"/>
          <w:sz w:val="20"/>
          <w:szCs w:val="20"/>
          <w:color w:val="292929"/>
        </w:rPr>
        <w:t>a result of an audit adjustment, and GEN Inc., as a member of GEN LLC (or such other entities), could be required to indirectly bear the economic burden of those taxes, interest, and penalties even though we may not otherwise have been required to pay additional corporate-level taxes as a result of the related audit adjustment. Audit adjustments for state or local tax purposes could similarly result in GEN LLC (or any of its applicable subsidiaries or other entities in which GEN LLC directly or indirectly invests) being required to pay or indirectly bear the economic burden of state or local taxes and associated interest, and penalties.</w:t>
      </w:r>
    </w:p>
    <w:p>
      <w:pPr>
        <w:spacing w:after="0" w:line="200" w:lineRule="exact"/>
        <w:rPr>
          <w:sz w:val="20"/>
          <w:szCs w:val="20"/>
          <w:color w:val="auto"/>
        </w:rPr>
      </w:pPr>
    </w:p>
    <w:p>
      <w:pPr>
        <w:ind w:right="180" w:firstLine="490"/>
        <w:spacing w:after="0" w:line="245" w:lineRule="auto"/>
        <w:rPr>
          <w:sz w:val="20"/>
          <w:szCs w:val="20"/>
          <w:color w:val="auto"/>
        </w:rPr>
      </w:pPr>
      <w:r>
        <w:rPr>
          <w:rFonts w:ascii="Times New Roman" w:cs="Times New Roman" w:eastAsia="Times New Roman" w:hAnsi="Times New Roman"/>
          <w:sz w:val="20"/>
          <w:szCs w:val="20"/>
          <w:color w:val="292929"/>
        </w:rPr>
        <w:t>Under certain circumstances, GEN LLC or an entity in which GEN LLC directly or indirectly invests and that is treated as a partnership for tax purposes may be eligible to make an election to cause members of GEN LLC (or such other entity) to take into account the amount of any understatement, including any interest and penalties, in accordance with such member’s share in GEN LLC in the year under audit. We will decide whether or not to cause GEN LLC to make this election; however, there are circumstances in which the election may not be available and, in the case of an entity in which GEN LLC directly or indirectly invests, such decision may be outside of our control. If GEN LLC or an entity in which GEN LLC directly or indirectly invests does not make this election, the then-current members of GEN LLC (including GEN Inc.) could economically bear the burden of the understatement.</w:t>
      </w:r>
    </w:p>
    <w:p>
      <w:pPr>
        <w:spacing w:after="0" w:line="322" w:lineRule="exact"/>
        <w:rPr>
          <w:sz w:val="20"/>
          <w:szCs w:val="20"/>
          <w:color w:val="auto"/>
        </w:rPr>
      </w:pPr>
    </w:p>
    <w:p>
      <w:pPr>
        <w:ind w:right="420"/>
        <w:spacing w:after="0" w:line="252" w:lineRule="auto"/>
        <w:rPr>
          <w:sz w:val="20"/>
          <w:szCs w:val="20"/>
          <w:color w:val="auto"/>
        </w:rPr>
      </w:pPr>
      <w:r>
        <w:rPr>
          <w:rFonts w:ascii="Times New Roman" w:cs="Times New Roman" w:eastAsia="Times New Roman" w:hAnsi="Times New Roman"/>
          <w:sz w:val="20"/>
          <w:szCs w:val="20"/>
          <w:b w:val="1"/>
          <w:bCs w:val="1"/>
          <w:i w:val="1"/>
          <w:iCs w:val="1"/>
          <w:color w:val="292929"/>
        </w:rPr>
        <w:t>If GEN LLC were to become a publicly traded partnership taxable as a corporation for U.S. federal income tax purposes, GEN Inc. and GEN LLC might be subject to potentially significant tax inefficiencies, and GEN Inc. would not be able to recover payments previously made by it under the Tax Receivable Agreement, even if the corresponding tax benefits were subsequently determined to have been unavailable due to such status.</w:t>
      </w:r>
    </w:p>
    <w:p>
      <w:pPr>
        <w:spacing w:after="0" w:line="74" w:lineRule="exact"/>
        <w:rPr>
          <w:sz w:val="20"/>
          <w:szCs w:val="20"/>
          <w:color w:val="auto"/>
        </w:rPr>
      </w:pPr>
    </w:p>
    <w:p>
      <w:pPr>
        <w:ind w:right="180" w:firstLine="490"/>
        <w:spacing w:after="0" w:line="245" w:lineRule="auto"/>
        <w:rPr>
          <w:sz w:val="20"/>
          <w:szCs w:val="20"/>
          <w:color w:val="auto"/>
        </w:rPr>
      </w:pPr>
      <w:r>
        <w:rPr>
          <w:rFonts w:ascii="Times New Roman" w:cs="Times New Roman" w:eastAsia="Times New Roman" w:hAnsi="Times New Roman"/>
          <w:sz w:val="20"/>
          <w:szCs w:val="20"/>
          <w:color w:val="292929"/>
        </w:rPr>
        <w:t>We intend to operate such that GEN LLC does not become a publicly traded partnership taxable as a corporation for U.S. federal income tax purposes. A “publicly traded partnership” is an entity that otherwise would be treated as a partnership for U.S. federal income tax purposes, the interests of which are traded on an established securities market or readily tradable on a secondary market or the substantial equivalent thereof. Under certain circumstances, exchanges of GEN LLC units pursuant to the GEN LLC Agreement or other transfers of GEN LLC units could cause GEN LLC to be treated like a publicly traded partnership. From time to time the U.S. Congress has considered legislation to change the tax treatment of partnerships and there can be no assurance that any such legislation will not be enacted or if enacted will not be adverse to us.</w:t>
      </w:r>
    </w:p>
    <w:p>
      <w:pPr>
        <w:spacing w:after="0" w:line="202"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292929"/>
        </w:rPr>
        <w:t>If GEN LLC were to become a publicly traded partnership taxable as a corporation for U.S. federal income tax purposes, significant tax inefficiencies might result for GEN Inc. and GEN LLC, including as a result of GEN Inc.’s inability to file a consolidated U.S. federal income tax return with GEN LLC. In addition, GEN Inc. may not be able to realize tax benefits covered under the Tax Receivable Agreement and would not be able to recover any payments previously made by it under the Tax Receivable Agreement, even if the corresponding tax benefits (including any claimed increase in the tax basis of GEN LLC’s assets) were subsequently determined to have been unavailable.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Class A Common Stock</w:t>
      </w:r>
    </w:p>
    <w:p>
      <w:pPr>
        <w:spacing w:after="0" w:line="124" w:lineRule="exact"/>
        <w:rPr>
          <w:sz w:val="20"/>
          <w:szCs w:val="20"/>
          <w:color w:val="auto"/>
        </w:rPr>
      </w:pPr>
    </w:p>
    <w:p>
      <w:pPr>
        <w:ind w:right="820"/>
        <w:spacing w:after="0" w:line="277" w:lineRule="auto"/>
        <w:rPr>
          <w:sz w:val="20"/>
          <w:szCs w:val="20"/>
          <w:color w:val="auto"/>
        </w:rPr>
      </w:pPr>
      <w:r>
        <w:rPr>
          <w:rFonts w:ascii="Times New Roman" w:cs="Times New Roman" w:eastAsia="Times New Roman" w:hAnsi="Times New Roman"/>
          <w:sz w:val="20"/>
          <w:szCs w:val="20"/>
          <w:b w:val="1"/>
          <w:bCs w:val="1"/>
          <w:i w:val="1"/>
          <w:iCs w:val="1"/>
          <w:color w:val="292929"/>
        </w:rPr>
        <w:t>The market price of our Class A common stock may be volatile or may decline regardless of our operating performance</w:t>
      </w:r>
      <w:r>
        <w:rPr>
          <w:rFonts w:ascii="Times New Roman" w:cs="Times New Roman" w:eastAsia="Times New Roman" w:hAnsi="Times New Roman"/>
          <w:sz w:val="20"/>
          <w:szCs w:val="20"/>
          <w:i w:val="1"/>
          <w:iCs w:val="1"/>
          <w:color w:val="292929"/>
        </w:rPr>
        <w:t>.</w:t>
      </w:r>
    </w:p>
    <w:p>
      <w:pPr>
        <w:spacing w:after="0" w:line="49" w:lineRule="exact"/>
        <w:rPr>
          <w:sz w:val="20"/>
          <w:szCs w:val="20"/>
          <w:color w:val="auto"/>
        </w:rPr>
      </w:pPr>
    </w:p>
    <w:p>
      <w:pPr>
        <w:ind w:right="200" w:firstLine="490"/>
        <w:spacing w:after="0" w:line="258" w:lineRule="auto"/>
        <w:rPr>
          <w:sz w:val="20"/>
          <w:szCs w:val="20"/>
          <w:color w:val="auto"/>
        </w:rPr>
      </w:pPr>
      <w:r>
        <w:rPr>
          <w:rFonts w:ascii="Times New Roman" w:cs="Times New Roman" w:eastAsia="Times New Roman" w:hAnsi="Times New Roman"/>
          <w:sz w:val="20"/>
          <w:szCs w:val="20"/>
          <w:color w:val="292929"/>
        </w:rPr>
        <w:t>The market price of our common stock is likely to be volatile. The market price of our Class A common stock may fluctuate significantly in response to numerous factors, some of which are beyond our control and may not be related to our operating performance, including:</w:t>
      </w:r>
    </w:p>
    <w:p>
      <w:pPr>
        <w:spacing w:after="0" w:line="83" w:lineRule="exact"/>
        <w:rPr>
          <w:sz w:val="20"/>
          <w:szCs w:val="20"/>
          <w:color w:val="auto"/>
        </w:rPr>
      </w:pPr>
    </w:p>
    <w:p>
      <w:pPr>
        <w:ind w:left="980" w:right="380" w:hanging="490"/>
        <w:spacing w:after="0" w:line="276" w:lineRule="auto"/>
        <w:tabs>
          <w:tab w:leader="none" w:pos="980" w:val="left"/>
        </w:tabs>
        <w:numPr>
          <w:ilvl w:val="0"/>
          <w:numId w:val="14"/>
        </w:numPr>
        <w:rPr>
          <w:rFonts w:ascii="Arial" w:cs="Arial" w:eastAsia="Arial" w:hAnsi="Arial"/>
          <w:sz w:val="20"/>
          <w:szCs w:val="20"/>
          <w:color w:val="292929"/>
        </w:rPr>
      </w:pPr>
      <w:r>
        <w:rPr>
          <w:rFonts w:ascii="Times New Roman" w:cs="Times New Roman" w:eastAsia="Times New Roman" w:hAnsi="Times New Roman"/>
          <w:sz w:val="20"/>
          <w:szCs w:val="20"/>
          <w:color w:val="292929"/>
        </w:rPr>
        <w:t>announcements of new restaurants, commercial relationships, acquisitions or other events by us or our competitors;</w:t>
      </w:r>
    </w:p>
    <w:p>
      <w:pPr>
        <w:spacing w:after="0" w:line="64" w:lineRule="exact"/>
        <w:rPr>
          <w:rFonts w:ascii="Arial" w:cs="Arial" w:eastAsia="Arial" w:hAnsi="Arial"/>
          <w:sz w:val="20"/>
          <w:szCs w:val="20"/>
          <w:color w:val="292929"/>
        </w:rPr>
      </w:pPr>
    </w:p>
    <w:p>
      <w:pPr>
        <w:ind w:left="980" w:hanging="490"/>
        <w:spacing w:after="0"/>
        <w:tabs>
          <w:tab w:leader="none" w:pos="980" w:val="left"/>
        </w:tabs>
        <w:numPr>
          <w:ilvl w:val="0"/>
          <w:numId w:val="14"/>
        </w:numPr>
        <w:rPr>
          <w:rFonts w:ascii="Arial" w:cs="Arial" w:eastAsia="Arial" w:hAnsi="Arial"/>
          <w:sz w:val="20"/>
          <w:szCs w:val="20"/>
          <w:color w:val="292929"/>
        </w:rPr>
      </w:pPr>
      <w:r>
        <w:rPr>
          <w:rFonts w:ascii="Times New Roman" w:cs="Times New Roman" w:eastAsia="Times New Roman" w:hAnsi="Times New Roman"/>
          <w:sz w:val="20"/>
          <w:szCs w:val="20"/>
          <w:color w:val="292929"/>
        </w:rPr>
        <w:t>price and volume fluctuations in the overall stock market from time to time;</w:t>
      </w:r>
    </w:p>
    <w:p>
      <w:pPr>
        <w:spacing w:after="0" w:line="133" w:lineRule="exact"/>
        <w:rPr>
          <w:rFonts w:ascii="Arial" w:cs="Arial" w:eastAsia="Arial" w:hAnsi="Arial"/>
          <w:sz w:val="20"/>
          <w:szCs w:val="20"/>
          <w:color w:val="292929"/>
        </w:rPr>
      </w:pPr>
    </w:p>
    <w:p>
      <w:pPr>
        <w:ind w:left="980" w:hanging="490"/>
        <w:spacing w:after="0"/>
        <w:tabs>
          <w:tab w:leader="none" w:pos="980" w:val="left"/>
        </w:tabs>
        <w:numPr>
          <w:ilvl w:val="0"/>
          <w:numId w:val="14"/>
        </w:numPr>
        <w:rPr>
          <w:rFonts w:ascii="Arial" w:cs="Arial" w:eastAsia="Arial" w:hAnsi="Arial"/>
          <w:sz w:val="20"/>
          <w:szCs w:val="20"/>
          <w:color w:val="292929"/>
        </w:rPr>
      </w:pPr>
      <w:r>
        <w:rPr>
          <w:rFonts w:ascii="Times New Roman" w:cs="Times New Roman" w:eastAsia="Times New Roman" w:hAnsi="Times New Roman"/>
          <w:sz w:val="20"/>
          <w:szCs w:val="20"/>
          <w:color w:val="292929"/>
        </w:rPr>
        <w:t>significant volatility in the market price and trading volume of restaurant companies in general;</w:t>
      </w:r>
    </w:p>
    <w:p>
      <w:pPr>
        <w:spacing w:after="0" w:line="133" w:lineRule="exact"/>
        <w:rPr>
          <w:rFonts w:ascii="Arial" w:cs="Arial" w:eastAsia="Arial" w:hAnsi="Arial"/>
          <w:sz w:val="20"/>
          <w:szCs w:val="20"/>
          <w:color w:val="292929"/>
        </w:rPr>
      </w:pPr>
    </w:p>
    <w:p>
      <w:pPr>
        <w:ind w:left="980" w:hanging="490"/>
        <w:spacing w:after="0"/>
        <w:tabs>
          <w:tab w:leader="none" w:pos="980" w:val="left"/>
        </w:tabs>
        <w:numPr>
          <w:ilvl w:val="0"/>
          <w:numId w:val="14"/>
        </w:numPr>
        <w:rPr>
          <w:rFonts w:ascii="Arial" w:cs="Arial" w:eastAsia="Arial" w:hAnsi="Arial"/>
          <w:sz w:val="20"/>
          <w:szCs w:val="20"/>
          <w:color w:val="292929"/>
        </w:rPr>
      </w:pPr>
      <w:r>
        <w:rPr>
          <w:rFonts w:ascii="Times New Roman" w:cs="Times New Roman" w:eastAsia="Times New Roman" w:hAnsi="Times New Roman"/>
          <w:sz w:val="20"/>
          <w:szCs w:val="20"/>
          <w:color w:val="292929"/>
        </w:rPr>
        <w:t>addition or loss of significant customers or other developments with respect to significant customers;</w:t>
      </w:r>
    </w:p>
    <w:p>
      <w:pPr>
        <w:spacing w:after="0" w:line="133" w:lineRule="exact"/>
        <w:rPr>
          <w:rFonts w:ascii="Arial" w:cs="Arial" w:eastAsia="Arial" w:hAnsi="Arial"/>
          <w:sz w:val="20"/>
          <w:szCs w:val="20"/>
          <w:color w:val="292929"/>
        </w:rPr>
      </w:pPr>
    </w:p>
    <w:p>
      <w:pPr>
        <w:ind w:left="980" w:hanging="490"/>
        <w:spacing w:after="0"/>
        <w:tabs>
          <w:tab w:leader="none" w:pos="980" w:val="left"/>
        </w:tabs>
        <w:numPr>
          <w:ilvl w:val="0"/>
          <w:numId w:val="14"/>
        </w:numPr>
        <w:rPr>
          <w:rFonts w:ascii="Arial" w:cs="Arial" w:eastAsia="Arial" w:hAnsi="Arial"/>
          <w:sz w:val="20"/>
          <w:szCs w:val="20"/>
          <w:color w:val="292929"/>
        </w:rPr>
      </w:pPr>
      <w:r>
        <w:rPr>
          <w:rFonts w:ascii="Times New Roman" w:cs="Times New Roman" w:eastAsia="Times New Roman" w:hAnsi="Times New Roman"/>
          <w:sz w:val="20"/>
          <w:szCs w:val="20"/>
          <w:color w:val="292929"/>
        </w:rPr>
        <w:t>fluctuations in the trading volume of our shares or the size of our public float;</w:t>
      </w:r>
    </w:p>
    <w:p>
      <w:pPr>
        <w:spacing w:after="0" w:line="133" w:lineRule="exact"/>
        <w:rPr>
          <w:rFonts w:ascii="Arial" w:cs="Arial" w:eastAsia="Arial" w:hAnsi="Arial"/>
          <w:sz w:val="20"/>
          <w:szCs w:val="20"/>
          <w:color w:val="292929"/>
        </w:rPr>
      </w:pPr>
    </w:p>
    <w:p>
      <w:pPr>
        <w:ind w:left="980" w:hanging="490"/>
        <w:spacing w:after="0"/>
        <w:tabs>
          <w:tab w:leader="none" w:pos="980" w:val="left"/>
        </w:tabs>
        <w:numPr>
          <w:ilvl w:val="0"/>
          <w:numId w:val="14"/>
        </w:numPr>
        <w:rPr>
          <w:rFonts w:ascii="Arial" w:cs="Arial" w:eastAsia="Arial" w:hAnsi="Arial"/>
          <w:sz w:val="20"/>
          <w:szCs w:val="20"/>
          <w:color w:val="292929"/>
        </w:rPr>
      </w:pPr>
      <w:r>
        <w:rPr>
          <w:rFonts w:ascii="Times New Roman" w:cs="Times New Roman" w:eastAsia="Times New Roman" w:hAnsi="Times New Roman"/>
          <w:sz w:val="20"/>
          <w:szCs w:val="20"/>
          <w:color w:val="292929"/>
        </w:rPr>
        <w:t>actual or anticipated changes or fluctuations in our operating results;</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540"/>
          </w:cols>
          <w:pgMar w:left="1260" w:top="1240" w:right="1440" w:bottom="355" w:gutter="0" w:footer="0" w:header="0"/>
          <w:type w:val="continuous"/>
        </w:sectPr>
      </w:pPr>
    </w:p>
    <w:bookmarkStart w:id="31" w:name="page32"/>
    <w:bookmarkEnd w:id="31"/>
    <w:p>
      <w:pPr>
        <w:ind w:left="980" w:hanging="490"/>
        <w:spacing w:after="0"/>
        <w:tabs>
          <w:tab w:leader="none" w:pos="980" w:val="left"/>
        </w:tabs>
        <w:numPr>
          <w:ilvl w:val="0"/>
          <w:numId w:val="15"/>
        </w:numPr>
        <w:rPr>
          <w:rFonts w:ascii="Arial" w:cs="Arial" w:eastAsia="Arial" w:hAnsi="Arial"/>
          <w:sz w:val="20"/>
          <w:szCs w:val="20"/>
          <w:color w:val="292929"/>
        </w:rPr>
      </w:pPr>
      <w:r>
        <w:rPr>
          <w:rFonts w:ascii="Times New Roman" w:cs="Times New Roman" w:eastAsia="Times New Roman" w:hAnsi="Times New Roman"/>
          <w:sz w:val="20"/>
          <w:szCs w:val="20"/>
          <w:color w:val="292929"/>
        </w:rPr>
        <w:t>whether our operating results meet the expectations of securities analysts or investors;</w:t>
      </w:r>
    </w:p>
    <w:p>
      <w:pPr>
        <w:spacing w:after="0" w:line="133" w:lineRule="exact"/>
        <w:rPr>
          <w:rFonts w:ascii="Arial" w:cs="Arial" w:eastAsia="Arial" w:hAnsi="Arial"/>
          <w:sz w:val="20"/>
          <w:szCs w:val="20"/>
          <w:color w:val="292929"/>
        </w:rPr>
      </w:pPr>
    </w:p>
    <w:p>
      <w:pPr>
        <w:ind w:left="980" w:hanging="490"/>
        <w:spacing w:after="0"/>
        <w:tabs>
          <w:tab w:leader="none" w:pos="980" w:val="left"/>
        </w:tabs>
        <w:numPr>
          <w:ilvl w:val="0"/>
          <w:numId w:val="15"/>
        </w:numPr>
        <w:rPr>
          <w:rFonts w:ascii="Arial" w:cs="Arial" w:eastAsia="Arial" w:hAnsi="Arial"/>
          <w:sz w:val="20"/>
          <w:szCs w:val="20"/>
          <w:color w:val="292929"/>
        </w:rPr>
      </w:pPr>
      <w:r>
        <w:rPr>
          <w:rFonts w:ascii="Times New Roman" w:cs="Times New Roman" w:eastAsia="Times New Roman" w:hAnsi="Times New Roman"/>
          <w:sz w:val="20"/>
          <w:szCs w:val="20"/>
          <w:color w:val="292929"/>
        </w:rPr>
        <w:t>actual or anticipated changes in the expectations of investors or securities analysts;</w:t>
      </w:r>
    </w:p>
    <w:p>
      <w:pPr>
        <w:spacing w:after="0" w:line="133" w:lineRule="exact"/>
        <w:rPr>
          <w:rFonts w:ascii="Arial" w:cs="Arial" w:eastAsia="Arial" w:hAnsi="Arial"/>
          <w:sz w:val="20"/>
          <w:szCs w:val="20"/>
          <w:color w:val="292929"/>
        </w:rPr>
      </w:pPr>
    </w:p>
    <w:p>
      <w:pPr>
        <w:ind w:left="980" w:hanging="490"/>
        <w:spacing w:after="0"/>
        <w:tabs>
          <w:tab w:leader="none" w:pos="980" w:val="left"/>
        </w:tabs>
        <w:numPr>
          <w:ilvl w:val="0"/>
          <w:numId w:val="15"/>
        </w:numPr>
        <w:rPr>
          <w:rFonts w:ascii="Arial" w:cs="Arial" w:eastAsia="Arial" w:hAnsi="Arial"/>
          <w:sz w:val="20"/>
          <w:szCs w:val="20"/>
          <w:color w:val="292929"/>
        </w:rPr>
      </w:pPr>
      <w:r>
        <w:rPr>
          <w:rFonts w:ascii="Times New Roman" w:cs="Times New Roman" w:eastAsia="Times New Roman" w:hAnsi="Times New Roman"/>
          <w:sz w:val="20"/>
          <w:szCs w:val="20"/>
          <w:color w:val="292929"/>
        </w:rPr>
        <w:t>litigation involving us, our industry, or both;</w:t>
      </w:r>
    </w:p>
    <w:p>
      <w:pPr>
        <w:spacing w:after="0" w:line="133" w:lineRule="exact"/>
        <w:rPr>
          <w:rFonts w:ascii="Arial" w:cs="Arial" w:eastAsia="Arial" w:hAnsi="Arial"/>
          <w:sz w:val="20"/>
          <w:szCs w:val="20"/>
          <w:color w:val="292929"/>
        </w:rPr>
      </w:pPr>
    </w:p>
    <w:p>
      <w:pPr>
        <w:ind w:left="980" w:hanging="490"/>
        <w:spacing w:after="0"/>
        <w:tabs>
          <w:tab w:leader="none" w:pos="980" w:val="left"/>
        </w:tabs>
        <w:numPr>
          <w:ilvl w:val="0"/>
          <w:numId w:val="15"/>
        </w:numPr>
        <w:rPr>
          <w:rFonts w:ascii="Arial" w:cs="Arial" w:eastAsia="Arial" w:hAnsi="Arial"/>
          <w:sz w:val="20"/>
          <w:szCs w:val="20"/>
          <w:color w:val="292929"/>
        </w:rPr>
      </w:pPr>
      <w:r>
        <w:rPr>
          <w:rFonts w:ascii="Times New Roman" w:cs="Times New Roman" w:eastAsia="Times New Roman" w:hAnsi="Times New Roman"/>
          <w:sz w:val="20"/>
          <w:szCs w:val="20"/>
          <w:color w:val="292929"/>
        </w:rPr>
        <w:t>regulatory developments in the United States, foreign countries, or both applicable to our products;</w:t>
      </w:r>
    </w:p>
    <w:p>
      <w:pPr>
        <w:spacing w:after="0" w:line="133" w:lineRule="exact"/>
        <w:rPr>
          <w:rFonts w:ascii="Arial" w:cs="Arial" w:eastAsia="Arial" w:hAnsi="Arial"/>
          <w:sz w:val="20"/>
          <w:szCs w:val="20"/>
          <w:color w:val="292929"/>
        </w:rPr>
      </w:pPr>
    </w:p>
    <w:p>
      <w:pPr>
        <w:ind w:left="980" w:hanging="490"/>
        <w:spacing w:after="0"/>
        <w:tabs>
          <w:tab w:leader="none" w:pos="980" w:val="left"/>
        </w:tabs>
        <w:numPr>
          <w:ilvl w:val="0"/>
          <w:numId w:val="15"/>
        </w:numPr>
        <w:rPr>
          <w:rFonts w:ascii="Arial" w:cs="Arial" w:eastAsia="Arial" w:hAnsi="Arial"/>
          <w:sz w:val="20"/>
          <w:szCs w:val="20"/>
          <w:color w:val="292929"/>
        </w:rPr>
      </w:pPr>
      <w:r>
        <w:rPr>
          <w:rFonts w:ascii="Times New Roman" w:cs="Times New Roman" w:eastAsia="Times New Roman" w:hAnsi="Times New Roman"/>
          <w:sz w:val="20"/>
          <w:szCs w:val="20"/>
          <w:color w:val="292929"/>
        </w:rPr>
        <w:t>general economic conditions and trends;</w:t>
      </w:r>
    </w:p>
    <w:p>
      <w:pPr>
        <w:spacing w:after="0" w:line="133" w:lineRule="exact"/>
        <w:rPr>
          <w:rFonts w:ascii="Arial" w:cs="Arial" w:eastAsia="Arial" w:hAnsi="Arial"/>
          <w:sz w:val="20"/>
          <w:szCs w:val="20"/>
          <w:color w:val="292929"/>
        </w:rPr>
      </w:pPr>
    </w:p>
    <w:p>
      <w:pPr>
        <w:ind w:left="980" w:hanging="490"/>
        <w:spacing w:after="0"/>
        <w:tabs>
          <w:tab w:leader="none" w:pos="980" w:val="left"/>
        </w:tabs>
        <w:numPr>
          <w:ilvl w:val="0"/>
          <w:numId w:val="15"/>
        </w:numPr>
        <w:rPr>
          <w:rFonts w:ascii="Arial" w:cs="Arial" w:eastAsia="Arial" w:hAnsi="Arial"/>
          <w:sz w:val="20"/>
          <w:szCs w:val="20"/>
          <w:color w:val="292929"/>
        </w:rPr>
      </w:pPr>
      <w:r>
        <w:rPr>
          <w:rFonts w:ascii="Times New Roman" w:cs="Times New Roman" w:eastAsia="Times New Roman" w:hAnsi="Times New Roman"/>
          <w:sz w:val="20"/>
          <w:szCs w:val="20"/>
          <w:color w:val="292929"/>
        </w:rPr>
        <w:t>major catastrophic events;</w:t>
      </w:r>
    </w:p>
    <w:p>
      <w:pPr>
        <w:spacing w:after="0" w:line="133" w:lineRule="exact"/>
        <w:rPr>
          <w:rFonts w:ascii="Arial" w:cs="Arial" w:eastAsia="Arial" w:hAnsi="Arial"/>
          <w:sz w:val="20"/>
          <w:szCs w:val="20"/>
          <w:color w:val="292929"/>
        </w:rPr>
      </w:pPr>
    </w:p>
    <w:p>
      <w:pPr>
        <w:ind w:left="980" w:hanging="490"/>
        <w:spacing w:after="0"/>
        <w:tabs>
          <w:tab w:leader="none" w:pos="980" w:val="left"/>
        </w:tabs>
        <w:numPr>
          <w:ilvl w:val="0"/>
          <w:numId w:val="15"/>
        </w:numPr>
        <w:rPr>
          <w:rFonts w:ascii="Arial" w:cs="Arial" w:eastAsia="Arial" w:hAnsi="Arial"/>
          <w:sz w:val="20"/>
          <w:szCs w:val="20"/>
          <w:color w:val="292929"/>
        </w:rPr>
      </w:pPr>
      <w:r>
        <w:rPr>
          <w:rFonts w:ascii="Times New Roman" w:cs="Times New Roman" w:eastAsia="Times New Roman" w:hAnsi="Times New Roman"/>
          <w:sz w:val="20"/>
          <w:szCs w:val="20"/>
          <w:color w:val="292929"/>
        </w:rPr>
        <w:t>lockup releases or sales of large blocks of our Class A common stock;</w:t>
      </w:r>
    </w:p>
    <w:p>
      <w:pPr>
        <w:spacing w:after="0" w:line="133" w:lineRule="exact"/>
        <w:rPr>
          <w:rFonts w:ascii="Arial" w:cs="Arial" w:eastAsia="Arial" w:hAnsi="Arial"/>
          <w:sz w:val="20"/>
          <w:szCs w:val="20"/>
          <w:color w:val="292929"/>
        </w:rPr>
      </w:pPr>
    </w:p>
    <w:p>
      <w:pPr>
        <w:ind w:left="980" w:hanging="490"/>
        <w:spacing w:after="0"/>
        <w:tabs>
          <w:tab w:leader="none" w:pos="980" w:val="left"/>
        </w:tabs>
        <w:numPr>
          <w:ilvl w:val="0"/>
          <w:numId w:val="15"/>
        </w:numPr>
        <w:rPr>
          <w:rFonts w:ascii="Arial" w:cs="Arial" w:eastAsia="Arial" w:hAnsi="Arial"/>
          <w:sz w:val="20"/>
          <w:szCs w:val="20"/>
          <w:color w:val="292929"/>
        </w:rPr>
      </w:pPr>
      <w:r>
        <w:rPr>
          <w:rFonts w:ascii="Times New Roman" w:cs="Times New Roman" w:eastAsia="Times New Roman" w:hAnsi="Times New Roman"/>
          <w:sz w:val="20"/>
          <w:szCs w:val="20"/>
          <w:color w:val="292929"/>
        </w:rPr>
        <w:t>departures of key employees; or</w:t>
      </w:r>
    </w:p>
    <w:p>
      <w:pPr>
        <w:spacing w:after="0" w:line="133" w:lineRule="exact"/>
        <w:rPr>
          <w:rFonts w:ascii="Arial" w:cs="Arial" w:eastAsia="Arial" w:hAnsi="Arial"/>
          <w:sz w:val="20"/>
          <w:szCs w:val="20"/>
          <w:color w:val="292929"/>
        </w:rPr>
      </w:pPr>
    </w:p>
    <w:p>
      <w:pPr>
        <w:ind w:left="980" w:hanging="490"/>
        <w:spacing w:after="0"/>
        <w:tabs>
          <w:tab w:leader="none" w:pos="980" w:val="left"/>
        </w:tabs>
        <w:numPr>
          <w:ilvl w:val="0"/>
          <w:numId w:val="15"/>
        </w:numPr>
        <w:rPr>
          <w:rFonts w:ascii="Arial" w:cs="Arial" w:eastAsia="Arial" w:hAnsi="Arial"/>
          <w:sz w:val="20"/>
          <w:szCs w:val="20"/>
          <w:color w:val="292929"/>
        </w:rPr>
      </w:pPr>
      <w:r>
        <w:rPr>
          <w:rFonts w:ascii="Times New Roman" w:cs="Times New Roman" w:eastAsia="Times New Roman" w:hAnsi="Times New Roman"/>
          <w:sz w:val="20"/>
          <w:szCs w:val="20"/>
          <w:color w:val="292929"/>
        </w:rPr>
        <w:t>an adverse impact on the Company from any of the other risks cited in this Annual Report.</w:t>
      </w:r>
    </w:p>
    <w:p>
      <w:pPr>
        <w:spacing w:after="0" w:line="239" w:lineRule="exact"/>
        <w:rPr>
          <w:sz w:val="20"/>
          <w:szCs w:val="20"/>
          <w:color w:val="auto"/>
        </w:rPr>
      </w:pPr>
    </w:p>
    <w:p>
      <w:pPr>
        <w:ind w:right="300" w:firstLine="490"/>
        <w:spacing w:after="0" w:line="244" w:lineRule="auto"/>
        <w:rPr>
          <w:sz w:val="20"/>
          <w:szCs w:val="20"/>
          <w:color w:val="auto"/>
        </w:rPr>
      </w:pPr>
      <w:r>
        <w:rPr>
          <w:rFonts w:ascii="Times New Roman" w:cs="Times New Roman" w:eastAsia="Times New Roman" w:hAnsi="Times New Roman"/>
          <w:sz w:val="20"/>
          <w:szCs w:val="20"/>
          <w:color w:val="auto"/>
        </w:rPr>
        <w:t>In addition, if the stock market for restaurant companies, or the stock market generally, experiences a loss of investor confidence, the trading price of our Class A common stock could decline for reasons unrelated to our business, operating results or financial condition. Stock prices of many restaurant companies have fluctuated in a manner unrelated or disproportionate to the operating performance of those companies. The trading price of our Class A common stock might also decline in reaction to events that affect other companies in our industry even if these events do not directly affect us. In the past, stockholders have filed securities class action litigation following periods of market volatility. If we were to become involved in securities litigation, we could incur substantial costs, resources and the attention of ma</w:t>
      </w:r>
      <w:r>
        <w:rPr>
          <w:rFonts w:ascii="Times New Roman" w:cs="Times New Roman" w:eastAsia="Times New Roman" w:hAnsi="Times New Roman"/>
          <w:sz w:val="20"/>
          <w:szCs w:val="20"/>
          <w:color w:val="292929"/>
        </w:rPr>
        <w:t>nagement could be diverted from our business, and our business may be adversely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92929"/>
        </w:rPr>
        <w:t>affected.</w:t>
      </w:r>
    </w:p>
    <w:p>
      <w:pPr>
        <w:spacing w:after="0" w:line="326"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20"/>
          <w:szCs w:val="20"/>
          <w:b w:val="1"/>
          <w:bCs w:val="1"/>
          <w:i w:val="1"/>
          <w:iCs w:val="1"/>
          <w:color w:val="292929"/>
        </w:rPr>
        <w:t>The disparity in the voting rights among the classes of our common stock and inability of the holders of our Class A common stock to influence decisions submitted to a vote of our stockholders may have an adverse effect on the price of our Class A common stock.</w:t>
      </w:r>
    </w:p>
    <w:p>
      <w:pPr>
        <w:spacing w:after="0" w:line="68" w:lineRule="exact"/>
        <w:rPr>
          <w:sz w:val="20"/>
          <w:szCs w:val="20"/>
          <w:color w:val="auto"/>
        </w:rPr>
      </w:pPr>
    </w:p>
    <w:p>
      <w:pPr>
        <w:ind w:right="260" w:firstLine="490"/>
        <w:spacing w:after="0" w:line="245" w:lineRule="auto"/>
        <w:rPr>
          <w:sz w:val="20"/>
          <w:szCs w:val="20"/>
          <w:color w:val="auto"/>
        </w:rPr>
      </w:pPr>
      <w:r>
        <w:rPr>
          <w:rFonts w:ascii="Times New Roman" w:cs="Times New Roman" w:eastAsia="Times New Roman" w:hAnsi="Times New Roman"/>
          <w:sz w:val="20"/>
          <w:szCs w:val="20"/>
          <w:color w:val="auto"/>
        </w:rPr>
        <w:t>Holders of our Class A common stock and Class B common stock vote together as a single class on almost all matters submitted to a vote of our stockholders. Shares of our Class A common stock and Class B common stock entitle the respective holders to identical non-economic rights, except that each share of our Class A common stock entitles its holder to one vote on all matters to be voted on by stockholders generally, while each share of our Class B common stock entitle its holder to ten votes on all matters to be voted on by stockholders. The difference in voting rights could adversely affect the value of our Class A common stock to the extent that investors view, or any potential future purchaser of our company views, the superior voting rights and implicit control of the Class B common stock to have value.</w:t>
      </w:r>
    </w:p>
    <w:p>
      <w:pPr>
        <w:spacing w:after="0" w:line="322"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b w:val="1"/>
          <w:bCs w:val="1"/>
          <w:i w:val="1"/>
          <w:iCs w:val="1"/>
          <w:color w:val="292929"/>
        </w:rPr>
        <w:t>Sales of substantial blocks of our Class A common stock into the public market, or the perception that such sales might occur, could cause the market price of our Class A common stock to decline.</w:t>
      </w:r>
    </w:p>
    <w:p>
      <w:pPr>
        <w:spacing w:after="0" w:line="49" w:lineRule="exact"/>
        <w:rPr>
          <w:sz w:val="20"/>
          <w:szCs w:val="20"/>
          <w:color w:val="auto"/>
        </w:rPr>
      </w:pPr>
    </w:p>
    <w:p>
      <w:pPr>
        <w:ind w:right="460" w:firstLine="490"/>
        <w:spacing w:after="0" w:line="258" w:lineRule="auto"/>
        <w:rPr>
          <w:sz w:val="20"/>
          <w:szCs w:val="20"/>
          <w:color w:val="auto"/>
        </w:rPr>
      </w:pPr>
      <w:r>
        <w:rPr>
          <w:rFonts w:ascii="Times New Roman" w:cs="Times New Roman" w:eastAsia="Times New Roman" w:hAnsi="Times New Roman"/>
          <w:sz w:val="20"/>
          <w:szCs w:val="20"/>
          <w:color w:val="auto"/>
        </w:rPr>
        <w:t xml:space="preserve">Sales of substantial blocks of our Class A common stock into the public market, or the perception that such sales might occur, could cause the market price of our Class A common stock to decline and may make it more difficult for you to sell your </w:t>
      </w:r>
      <w:r>
        <w:rPr>
          <w:rFonts w:ascii="Times New Roman" w:cs="Times New Roman" w:eastAsia="Times New Roman" w:hAnsi="Times New Roman"/>
          <w:sz w:val="20"/>
          <w:szCs w:val="20"/>
          <w:color w:val="292929"/>
        </w:rPr>
        <w:t>Class A common stock at a time and price that you deem appropriate.</w:t>
      </w:r>
    </w:p>
    <w:p>
      <w:pPr>
        <w:spacing w:after="0" w:line="188" w:lineRule="exact"/>
        <w:rPr>
          <w:sz w:val="20"/>
          <w:szCs w:val="20"/>
          <w:color w:val="auto"/>
        </w:rPr>
      </w:pPr>
    </w:p>
    <w:p>
      <w:pPr>
        <w:ind w:right="340" w:firstLine="490"/>
        <w:spacing w:after="0" w:line="246" w:lineRule="auto"/>
        <w:rPr>
          <w:sz w:val="20"/>
          <w:szCs w:val="20"/>
          <w:color w:val="auto"/>
        </w:rPr>
      </w:pPr>
      <w:r>
        <w:rPr>
          <w:rFonts w:ascii="Times New Roman" w:cs="Times New Roman" w:eastAsia="Times New Roman" w:hAnsi="Times New Roman"/>
          <w:sz w:val="20"/>
          <w:szCs w:val="20"/>
          <w:color w:val="292929"/>
        </w:rPr>
        <w:t>Pursuant to a registration rights agreement, holders of our Class B common stock have rights to require us to file registration statements covering the sale of shares of Class A common stock issuable upon exchange of the corresponding Class B units or to include such shares in registration statements that we may file for ourselves or other stockholder, and accordingly, we filed a registration statement on Form S-3 under the Securities Act of 1933, as amended (the “Securities Act”), to register 28,223,836 shares of Class A common stock in May 2025. We have also registered the offer and sale of all shares of common stock that we may issue under our equity compensation plans.</w:t>
      </w:r>
    </w:p>
    <w:p>
      <w:pPr>
        <w:spacing w:after="0" w:line="200" w:lineRule="exact"/>
        <w:rPr>
          <w:sz w:val="20"/>
          <w:szCs w:val="20"/>
          <w:color w:val="auto"/>
        </w:rPr>
      </w:pPr>
    </w:p>
    <w:p>
      <w:pPr>
        <w:ind w:right="280" w:firstLine="490"/>
        <w:spacing w:after="0" w:line="258" w:lineRule="auto"/>
        <w:rPr>
          <w:sz w:val="20"/>
          <w:szCs w:val="20"/>
          <w:color w:val="auto"/>
        </w:rPr>
      </w:pPr>
      <w:r>
        <w:rPr>
          <w:rFonts w:ascii="Times New Roman" w:cs="Times New Roman" w:eastAsia="Times New Roman" w:hAnsi="Times New Roman"/>
          <w:sz w:val="20"/>
          <w:szCs w:val="20"/>
          <w:color w:val="292929"/>
        </w:rPr>
        <w:t>We filed a registration statement on Form S-8 under the Securities Act to register the 4,000,000 shares of Class A common stock reserved for issuance under our 2023 Equity Incentive Plan (the “Plan”). The Plan provides for automatic increases in the shares reserved for grant or issuance under the Plan which could result in additional</w:t>
      </w:r>
    </w:p>
    <w:p>
      <w:pPr>
        <w:sectPr>
          <w:pgSz w:w="12240" w:h="15840" w:orient="portrait"/>
          <w:cols w:equalWidth="0" w:num="1">
            <w:col w:w="9540"/>
          </w:cols>
          <w:pgMar w:left="1260" w:top="1254" w:right="1440" w:bottom="355"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540"/>
          </w:cols>
          <w:pgMar w:left="1260" w:top="1254" w:right="1440" w:bottom="355" w:gutter="0" w:footer="0" w:header="0"/>
          <w:type w:val="continuous"/>
        </w:sectPr>
      </w:pPr>
    </w:p>
    <w:bookmarkStart w:id="32" w:name="page33"/>
    <w:bookmarkEnd w:id="32"/>
    <w:p>
      <w:pPr>
        <w:ind w:right="220"/>
        <w:spacing w:after="0" w:line="277" w:lineRule="auto"/>
        <w:rPr>
          <w:sz w:val="20"/>
          <w:szCs w:val="20"/>
          <w:color w:val="auto"/>
        </w:rPr>
      </w:pPr>
      <w:r>
        <w:rPr>
          <w:rFonts w:ascii="Times New Roman" w:cs="Times New Roman" w:eastAsia="Times New Roman" w:hAnsi="Times New Roman"/>
          <w:sz w:val="20"/>
          <w:szCs w:val="20"/>
          <w:color w:val="292929"/>
        </w:rPr>
        <w:t>dilution to our stockholders. These shares can be freely sold in the public market upon issuance and vesting, subject to restrictions provided under the terms of the Plan and/or the award agreements entered into with participants.</w:t>
      </w:r>
    </w:p>
    <w:p>
      <w:pPr>
        <w:spacing w:after="0" w:line="289"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20"/>
          <w:szCs w:val="20"/>
          <w:b w:val="1"/>
          <w:bCs w:val="1"/>
          <w:i w:val="1"/>
          <w:iCs w:val="1"/>
          <w:color w:val="292929"/>
        </w:rPr>
        <w:t>We are a “controlled company” within the meaning of the listing standards of the Nasdaq Stock Market (the “Exchange”), and, as a result, qualify for, and intend to rely on, exemptions from certain corporate governance requirements. While we continue to rely on these exemptions, you will not have the same protections afforded to stockholders of companies that are subject to such requirements.</w:t>
      </w:r>
    </w:p>
    <w:p>
      <w:pPr>
        <w:spacing w:after="0" w:line="74" w:lineRule="exact"/>
        <w:rPr>
          <w:sz w:val="20"/>
          <w:szCs w:val="20"/>
          <w:color w:val="auto"/>
        </w:rPr>
      </w:pPr>
    </w:p>
    <w:p>
      <w:pPr>
        <w:ind w:right="220" w:firstLine="490"/>
        <w:spacing w:after="0" w:line="246" w:lineRule="auto"/>
        <w:rPr>
          <w:sz w:val="20"/>
          <w:szCs w:val="20"/>
          <w:color w:val="auto"/>
        </w:rPr>
      </w:pPr>
      <w:r>
        <w:rPr>
          <w:rFonts w:ascii="Times New Roman" w:cs="Times New Roman" w:eastAsia="Times New Roman" w:hAnsi="Times New Roman"/>
          <w:sz w:val="20"/>
          <w:szCs w:val="20"/>
          <w:color w:val="auto"/>
        </w:rPr>
        <w:t>Our co-founders control a majority of the voting power of our outstanding common stock. As a result, we qualify as a “controlled company” within the meaning of the corporate governance standards of the Exchange. Under these rules, a listed company of which more than 50% of the voting power with respect to the election of directors is held by an individual, group or another company is a “controlled company” and may elect not to comply with certain corporate governance requirements, including the requirement that (i) a majority of our board of directors consist of independent directors, (ii) director nominees be selected or recommended to the board entirely by independent directors and (iii) the compensation committee be composed entirely of independent directors.</w:t>
      </w:r>
    </w:p>
    <w:p>
      <w:pPr>
        <w:spacing w:after="0" w:line="200" w:lineRule="exact"/>
        <w:rPr>
          <w:sz w:val="20"/>
          <w:szCs w:val="20"/>
          <w:color w:val="auto"/>
        </w:rPr>
      </w:pPr>
    </w:p>
    <w:p>
      <w:pPr>
        <w:ind w:right="560" w:firstLine="490"/>
        <w:spacing w:after="0" w:line="258" w:lineRule="auto"/>
        <w:rPr>
          <w:sz w:val="20"/>
          <w:szCs w:val="20"/>
          <w:color w:val="auto"/>
        </w:rPr>
      </w:pPr>
      <w:r>
        <w:rPr>
          <w:rFonts w:ascii="Times New Roman" w:cs="Times New Roman" w:eastAsia="Times New Roman" w:hAnsi="Times New Roman"/>
          <w:sz w:val="20"/>
          <w:szCs w:val="20"/>
          <w:color w:val="auto"/>
        </w:rPr>
        <w:t>As a result of these exemptions, we do not have a majority of indepen</w:t>
      </w:r>
      <w:r>
        <w:rPr>
          <w:rFonts w:ascii="Times New Roman" w:cs="Times New Roman" w:eastAsia="Times New Roman" w:hAnsi="Times New Roman"/>
          <w:sz w:val="20"/>
          <w:szCs w:val="20"/>
          <w:color w:val="292929"/>
        </w:rPr>
        <w:t>dent directors, our compensation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92929"/>
        </w:rPr>
        <w:t>committee does not consist entirely of independent directors and our directors may not be nominated or selected entirely by independent directors.</w:t>
      </w:r>
    </w:p>
    <w:p>
      <w:pPr>
        <w:spacing w:after="0" w:line="188" w:lineRule="exact"/>
        <w:rPr>
          <w:sz w:val="20"/>
          <w:szCs w:val="20"/>
          <w:color w:val="auto"/>
        </w:rPr>
      </w:pPr>
    </w:p>
    <w:p>
      <w:pPr>
        <w:ind w:right="380" w:firstLine="490"/>
        <w:spacing w:after="0" w:line="277" w:lineRule="auto"/>
        <w:rPr>
          <w:sz w:val="20"/>
          <w:szCs w:val="20"/>
          <w:color w:val="auto"/>
        </w:rPr>
      </w:pPr>
      <w:r>
        <w:rPr>
          <w:rFonts w:ascii="Times New Roman" w:cs="Times New Roman" w:eastAsia="Times New Roman" w:hAnsi="Times New Roman"/>
          <w:sz w:val="20"/>
          <w:szCs w:val="20"/>
          <w:color w:val="auto"/>
        </w:rPr>
        <w:t xml:space="preserve">Accordingly, you do not have the same protections afforded to stockholders of companies that are subject to all of </w:t>
      </w:r>
      <w:r>
        <w:rPr>
          <w:rFonts w:ascii="Times New Roman" w:cs="Times New Roman" w:eastAsia="Times New Roman" w:hAnsi="Times New Roman"/>
          <w:sz w:val="20"/>
          <w:szCs w:val="20"/>
          <w:color w:val="292929"/>
        </w:rPr>
        <w:t>the corporate governance requirements of the Exchange.</w:t>
      </w:r>
    </w:p>
    <w:p>
      <w:pPr>
        <w:spacing w:after="0" w:line="289"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20"/>
          <w:szCs w:val="20"/>
          <w:b w:val="1"/>
          <w:bCs w:val="1"/>
          <w:i w:val="1"/>
          <w:iCs w:val="1"/>
          <w:color w:val="292929"/>
        </w:rPr>
        <w:t>Insiders have substantial control over our company, which could limit your ability to influence the outcome of key decisions, including a change of control.</w:t>
      </w:r>
    </w:p>
    <w:p>
      <w:pPr>
        <w:spacing w:after="0" w:line="49" w:lineRule="exact"/>
        <w:rPr>
          <w:sz w:val="20"/>
          <w:szCs w:val="20"/>
          <w:color w:val="auto"/>
        </w:rPr>
      </w:pPr>
    </w:p>
    <w:p>
      <w:pPr>
        <w:ind w:right="240" w:firstLine="490"/>
        <w:spacing w:after="0" w:line="245" w:lineRule="auto"/>
        <w:rPr>
          <w:sz w:val="20"/>
          <w:szCs w:val="20"/>
          <w:color w:val="auto"/>
        </w:rPr>
      </w:pPr>
      <w:r>
        <w:rPr>
          <w:rFonts w:ascii="Times New Roman" w:cs="Times New Roman" w:eastAsia="Times New Roman" w:hAnsi="Times New Roman"/>
          <w:sz w:val="20"/>
          <w:szCs w:val="20"/>
          <w:color w:val="auto"/>
        </w:rPr>
        <w:t xml:space="preserve">Our co-founders control more than 50% of the voting power of our common stock in the election of directors. This control limits or precludes your ability to influence corporate matters for the foreseeable future. These stockholders are able to influence or control matters requiring approval by our stockholders, including the election of directors and the approval of mergers, acquisitions or other extraordinary transactions. </w:t>
      </w:r>
      <w:r>
        <w:rPr>
          <w:rFonts w:ascii="Times New Roman" w:cs="Times New Roman" w:eastAsia="Times New Roman" w:hAnsi="Times New Roman"/>
          <w:sz w:val="20"/>
          <w:szCs w:val="20"/>
          <w:color w:val="292929"/>
        </w:rPr>
        <w:t>Their interests may differ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92929"/>
        </w:rPr>
        <w:t>from yours and they may vote in a manner that is adverse to your interests. This control may deter, delay or prevent a change of control of our company, deprive our stockholders of an opportunity to receive a premium for their Class A common stock as part of a sale of our company and may ultimately have a negative effect on the market price of our Class A common stock.</w:t>
      </w:r>
    </w:p>
    <w:p>
      <w:pPr>
        <w:spacing w:after="0" w:line="322"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20"/>
          <w:szCs w:val="20"/>
          <w:b w:val="1"/>
          <w:bCs w:val="1"/>
          <w:i w:val="1"/>
          <w:iCs w:val="1"/>
          <w:color w:val="292929"/>
        </w:rPr>
        <w:t>We do not intend to pay dividends for the foreseeable future and, as a result, your ability to achieve a return on your investment will solely depend on appreciation in the price of our Class A common stock</w:t>
      </w:r>
      <w:r>
        <w:rPr>
          <w:rFonts w:ascii="Times New Roman" w:cs="Times New Roman" w:eastAsia="Times New Roman" w:hAnsi="Times New Roman"/>
          <w:sz w:val="20"/>
          <w:szCs w:val="20"/>
          <w:i w:val="1"/>
          <w:iCs w:val="1"/>
          <w:color w:val="292929"/>
        </w:rPr>
        <w:t>.</w:t>
      </w:r>
    </w:p>
    <w:p>
      <w:pPr>
        <w:spacing w:after="0" w:line="49" w:lineRule="exact"/>
        <w:rPr>
          <w:sz w:val="20"/>
          <w:szCs w:val="20"/>
          <w:color w:val="auto"/>
        </w:rPr>
      </w:pPr>
    </w:p>
    <w:p>
      <w:pPr>
        <w:ind w:right="360" w:firstLine="490"/>
        <w:spacing w:after="0" w:line="249" w:lineRule="auto"/>
        <w:rPr>
          <w:sz w:val="20"/>
          <w:szCs w:val="20"/>
          <w:color w:val="auto"/>
        </w:rPr>
      </w:pPr>
      <w:r>
        <w:rPr>
          <w:rFonts w:ascii="Times New Roman" w:cs="Times New Roman" w:eastAsia="Times New Roman" w:hAnsi="Times New Roman"/>
          <w:sz w:val="20"/>
          <w:szCs w:val="20"/>
          <w:color w:val="auto"/>
        </w:rPr>
        <w:t>We have no present intention to pay any cash dividends on our common stock in the foreseeable future. We will retain all of our future earnings for use in the development of our business and for general corporate purposes. Any determination to pay dividends in the future will be at the discretion of our board of directors. Accordingly, investors must rely on sales of their Class A common stock after price appreciation, which may n</w:t>
      </w:r>
      <w:r>
        <w:rPr>
          <w:rFonts w:ascii="Times New Roman" w:cs="Times New Roman" w:eastAsia="Times New Roman" w:hAnsi="Times New Roman"/>
          <w:sz w:val="20"/>
          <w:szCs w:val="20"/>
          <w:color w:val="292929"/>
        </w:rPr>
        <w:t>ever occur, as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92929"/>
        </w:rPr>
        <w:t>only way to realize any future gains on their investments.</w:t>
      </w:r>
    </w:p>
    <w:p>
      <w:pPr>
        <w:spacing w:after="0" w:line="317" w:lineRule="exact"/>
        <w:rPr>
          <w:sz w:val="20"/>
          <w:szCs w:val="20"/>
          <w:color w:val="auto"/>
        </w:rPr>
      </w:pPr>
    </w:p>
    <w:p>
      <w:pPr>
        <w:ind w:right="720"/>
        <w:spacing w:after="0" w:line="277" w:lineRule="auto"/>
        <w:rPr>
          <w:sz w:val="20"/>
          <w:szCs w:val="20"/>
          <w:color w:val="auto"/>
        </w:rPr>
      </w:pPr>
      <w:r>
        <w:rPr>
          <w:rFonts w:ascii="Times New Roman" w:cs="Times New Roman" w:eastAsia="Times New Roman" w:hAnsi="Times New Roman"/>
          <w:sz w:val="20"/>
          <w:szCs w:val="20"/>
          <w:b w:val="1"/>
          <w:bCs w:val="1"/>
          <w:i w:val="1"/>
          <w:iCs w:val="1"/>
          <w:color w:val="292929"/>
        </w:rPr>
        <w:t>Our charter documents and the DGCL could discourage takeover attempts and other corporate governance changes</w:t>
      </w:r>
      <w:r>
        <w:rPr>
          <w:rFonts w:ascii="Times New Roman" w:cs="Times New Roman" w:eastAsia="Times New Roman" w:hAnsi="Times New Roman"/>
          <w:sz w:val="20"/>
          <w:szCs w:val="20"/>
          <w:i w:val="1"/>
          <w:iCs w:val="1"/>
          <w:color w:val="292929"/>
        </w:rPr>
        <w:t>.</w:t>
      </w:r>
    </w:p>
    <w:p>
      <w:pPr>
        <w:spacing w:after="0" w:line="49" w:lineRule="exact"/>
        <w:rPr>
          <w:sz w:val="20"/>
          <w:szCs w:val="20"/>
          <w:color w:val="auto"/>
        </w:rPr>
      </w:pPr>
    </w:p>
    <w:p>
      <w:pPr>
        <w:ind w:right="280" w:firstLine="490"/>
        <w:spacing w:after="0" w:line="252" w:lineRule="auto"/>
        <w:rPr>
          <w:sz w:val="20"/>
          <w:szCs w:val="20"/>
          <w:color w:val="auto"/>
        </w:rPr>
      </w:pPr>
      <w:r>
        <w:rPr>
          <w:rFonts w:ascii="Times New Roman" w:cs="Times New Roman" w:eastAsia="Times New Roman" w:hAnsi="Times New Roman"/>
          <w:sz w:val="20"/>
          <w:szCs w:val="20"/>
          <w:color w:val="auto"/>
        </w:rPr>
        <w:t>Our certificate of incorporation and bylaws contain provisions that could delay or p</w:t>
      </w:r>
      <w:r>
        <w:rPr>
          <w:rFonts w:ascii="Times New Roman" w:cs="Times New Roman" w:eastAsia="Times New Roman" w:hAnsi="Times New Roman"/>
          <w:sz w:val="20"/>
          <w:szCs w:val="20"/>
          <w:color w:val="292929"/>
        </w:rPr>
        <w:t>revent a change in control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92929"/>
        </w:rPr>
        <w:t>of our company. These provisions also make it difficult for stockholders to elect directors that are not nominated by the current members of our board of directors or take other corporate actions, including effecting changes in our management. These provisions provide that:</w:t>
      </w:r>
    </w:p>
    <w:p>
      <w:pPr>
        <w:spacing w:after="0" w:line="88" w:lineRule="exact"/>
        <w:rPr>
          <w:sz w:val="20"/>
          <w:szCs w:val="20"/>
          <w:color w:val="auto"/>
        </w:rPr>
      </w:pPr>
    </w:p>
    <w:p>
      <w:pPr>
        <w:ind w:left="980" w:hanging="490"/>
        <w:spacing w:after="0"/>
        <w:tabs>
          <w:tab w:leader="none" w:pos="980" w:val="left"/>
        </w:tabs>
        <w:numPr>
          <w:ilvl w:val="0"/>
          <w:numId w:val="16"/>
        </w:numPr>
        <w:rPr>
          <w:rFonts w:ascii="Arial" w:cs="Arial" w:eastAsia="Arial" w:hAnsi="Arial"/>
          <w:sz w:val="20"/>
          <w:szCs w:val="20"/>
          <w:color w:val="292929"/>
        </w:rPr>
      </w:pPr>
      <w:r>
        <w:rPr>
          <w:rFonts w:ascii="Times New Roman" w:cs="Times New Roman" w:eastAsia="Times New Roman" w:hAnsi="Times New Roman"/>
          <w:sz w:val="20"/>
          <w:szCs w:val="20"/>
          <w:color w:val="292929"/>
        </w:rPr>
        <w:t>our board of directors are classified into three classes of directors with staggered three-year terms;</w:t>
      </w:r>
    </w:p>
    <w:p>
      <w:pPr>
        <w:spacing w:after="0" w:line="133" w:lineRule="exact"/>
        <w:rPr>
          <w:rFonts w:ascii="Arial" w:cs="Arial" w:eastAsia="Arial" w:hAnsi="Arial"/>
          <w:sz w:val="20"/>
          <w:szCs w:val="20"/>
          <w:color w:val="292929"/>
        </w:rPr>
      </w:pPr>
    </w:p>
    <w:p>
      <w:pPr>
        <w:ind w:left="980" w:right="520" w:hanging="490"/>
        <w:spacing w:after="0" w:line="276" w:lineRule="auto"/>
        <w:tabs>
          <w:tab w:leader="none" w:pos="980" w:val="left"/>
        </w:tabs>
        <w:numPr>
          <w:ilvl w:val="0"/>
          <w:numId w:val="16"/>
        </w:numPr>
        <w:rPr>
          <w:rFonts w:ascii="Arial" w:cs="Arial" w:eastAsia="Arial" w:hAnsi="Arial"/>
          <w:sz w:val="20"/>
          <w:szCs w:val="20"/>
          <w:color w:val="292929"/>
        </w:rPr>
      </w:pPr>
      <w:r>
        <w:rPr>
          <w:rFonts w:ascii="Times New Roman" w:cs="Times New Roman" w:eastAsia="Times New Roman" w:hAnsi="Times New Roman"/>
          <w:sz w:val="20"/>
          <w:szCs w:val="20"/>
          <w:color w:val="292929"/>
        </w:rPr>
        <w:t>directors are only able to be removed from office for cause and with the affirmative vote of at least a majority of the voting power of all shares of our common stock then outstanding;</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540"/>
          </w:cols>
          <w:pgMar w:left="1260" w:top="1240" w:right="1440" w:bottom="355" w:gutter="0" w:footer="0" w:header="0"/>
          <w:type w:val="continuous"/>
        </w:sectPr>
      </w:pPr>
    </w:p>
    <w:bookmarkStart w:id="33" w:name="page34"/>
    <w:bookmarkEnd w:id="33"/>
    <w:p>
      <w:pPr>
        <w:ind w:left="980" w:right="980" w:hanging="490"/>
        <w:spacing w:after="0" w:line="276" w:lineRule="auto"/>
        <w:tabs>
          <w:tab w:leader="none" w:pos="980" w:val="left"/>
        </w:tabs>
        <w:numPr>
          <w:ilvl w:val="0"/>
          <w:numId w:val="17"/>
        </w:numPr>
        <w:rPr>
          <w:rFonts w:ascii="Arial" w:cs="Arial" w:eastAsia="Arial" w:hAnsi="Arial"/>
          <w:sz w:val="20"/>
          <w:szCs w:val="20"/>
          <w:color w:val="292929"/>
        </w:rPr>
      </w:pPr>
      <w:r>
        <w:rPr>
          <w:rFonts w:ascii="Times New Roman" w:cs="Times New Roman" w:eastAsia="Times New Roman" w:hAnsi="Times New Roman"/>
          <w:sz w:val="20"/>
          <w:szCs w:val="20"/>
          <w:color w:val="292929"/>
        </w:rPr>
        <w:t>authorize the issuance of “blank check” preferred stock that our board of directors could use to implement a stockholder rights plan;</w:t>
      </w:r>
    </w:p>
    <w:p>
      <w:pPr>
        <w:spacing w:after="0" w:line="64" w:lineRule="exact"/>
        <w:rPr>
          <w:rFonts w:ascii="Arial" w:cs="Arial" w:eastAsia="Arial" w:hAnsi="Arial"/>
          <w:sz w:val="20"/>
          <w:szCs w:val="20"/>
          <w:color w:val="292929"/>
        </w:rPr>
      </w:pPr>
    </w:p>
    <w:p>
      <w:pPr>
        <w:ind w:left="980" w:right="740" w:hanging="490"/>
        <w:spacing w:after="0" w:line="276" w:lineRule="auto"/>
        <w:tabs>
          <w:tab w:leader="none" w:pos="980" w:val="left"/>
        </w:tabs>
        <w:numPr>
          <w:ilvl w:val="0"/>
          <w:numId w:val="17"/>
        </w:numPr>
        <w:rPr>
          <w:rFonts w:ascii="Arial" w:cs="Arial" w:eastAsia="Arial" w:hAnsi="Arial"/>
          <w:sz w:val="20"/>
          <w:szCs w:val="20"/>
          <w:color w:val="292929"/>
        </w:rPr>
      </w:pPr>
      <w:r>
        <w:rPr>
          <w:rFonts w:ascii="Times New Roman" w:cs="Times New Roman" w:eastAsia="Times New Roman" w:hAnsi="Times New Roman"/>
          <w:sz w:val="20"/>
          <w:szCs w:val="20"/>
          <w:color w:val="292929"/>
        </w:rPr>
        <w:t>prohibit stockholder action by written consent, which requires stockholder actions to be taken at a meeting of our stockholders;</w:t>
      </w:r>
    </w:p>
    <w:p>
      <w:pPr>
        <w:spacing w:after="0" w:line="64" w:lineRule="exact"/>
        <w:rPr>
          <w:rFonts w:ascii="Arial" w:cs="Arial" w:eastAsia="Arial" w:hAnsi="Arial"/>
          <w:sz w:val="20"/>
          <w:szCs w:val="20"/>
          <w:color w:val="292929"/>
        </w:rPr>
      </w:pPr>
    </w:p>
    <w:p>
      <w:pPr>
        <w:ind w:left="980" w:right="740" w:hanging="490"/>
        <w:spacing w:after="0" w:line="276" w:lineRule="auto"/>
        <w:tabs>
          <w:tab w:leader="none" w:pos="980" w:val="left"/>
        </w:tabs>
        <w:numPr>
          <w:ilvl w:val="0"/>
          <w:numId w:val="17"/>
        </w:numPr>
        <w:rPr>
          <w:rFonts w:ascii="Arial" w:cs="Arial" w:eastAsia="Arial" w:hAnsi="Arial"/>
          <w:sz w:val="20"/>
          <w:szCs w:val="20"/>
          <w:color w:val="292929"/>
        </w:rPr>
      </w:pPr>
      <w:r>
        <w:rPr>
          <w:rFonts w:ascii="Times New Roman" w:cs="Times New Roman" w:eastAsia="Times New Roman" w:hAnsi="Times New Roman"/>
          <w:sz w:val="20"/>
          <w:szCs w:val="20"/>
          <w:color w:val="292929"/>
        </w:rPr>
        <w:t>establish advance notice requirements for nominations for election to our board of directors or for proposing matters that can be acted upon by stockholders at annual stockholder meetings;</w:t>
      </w:r>
    </w:p>
    <w:p>
      <w:pPr>
        <w:spacing w:after="0" w:line="64" w:lineRule="exact"/>
        <w:rPr>
          <w:rFonts w:ascii="Arial" w:cs="Arial" w:eastAsia="Arial" w:hAnsi="Arial"/>
          <w:sz w:val="20"/>
          <w:szCs w:val="20"/>
          <w:color w:val="292929"/>
        </w:rPr>
      </w:pPr>
    </w:p>
    <w:p>
      <w:pPr>
        <w:ind w:left="980" w:right="800" w:hanging="490"/>
        <w:spacing w:after="0" w:line="276" w:lineRule="auto"/>
        <w:tabs>
          <w:tab w:leader="none" w:pos="980" w:val="left"/>
        </w:tabs>
        <w:numPr>
          <w:ilvl w:val="0"/>
          <w:numId w:val="17"/>
        </w:numPr>
        <w:rPr>
          <w:rFonts w:ascii="Arial" w:cs="Arial" w:eastAsia="Arial" w:hAnsi="Arial"/>
          <w:sz w:val="20"/>
          <w:szCs w:val="20"/>
          <w:color w:val="292929"/>
        </w:rPr>
      </w:pPr>
      <w:r>
        <w:rPr>
          <w:rFonts w:ascii="Times New Roman" w:cs="Times New Roman" w:eastAsia="Times New Roman" w:hAnsi="Times New Roman"/>
          <w:sz w:val="20"/>
          <w:szCs w:val="20"/>
          <w:color w:val="292929"/>
        </w:rPr>
        <w:t>provide the board of directors with sole authorization to establish the number of directors and fill director vacancies;</w:t>
      </w:r>
    </w:p>
    <w:p>
      <w:pPr>
        <w:spacing w:after="0" w:line="64" w:lineRule="exact"/>
        <w:rPr>
          <w:rFonts w:ascii="Arial" w:cs="Arial" w:eastAsia="Arial" w:hAnsi="Arial"/>
          <w:sz w:val="20"/>
          <w:szCs w:val="20"/>
          <w:color w:val="292929"/>
        </w:rPr>
      </w:pPr>
    </w:p>
    <w:p>
      <w:pPr>
        <w:ind w:left="980" w:right="300" w:hanging="490"/>
        <w:spacing w:after="0" w:line="290" w:lineRule="auto"/>
        <w:tabs>
          <w:tab w:leader="none" w:pos="980" w:val="left"/>
        </w:tabs>
        <w:numPr>
          <w:ilvl w:val="0"/>
          <w:numId w:val="17"/>
        </w:numPr>
        <w:rPr>
          <w:rFonts w:ascii="Arial" w:cs="Arial" w:eastAsia="Arial" w:hAnsi="Arial"/>
          <w:sz w:val="20"/>
          <w:szCs w:val="20"/>
          <w:color w:val="292929"/>
        </w:rPr>
      </w:pPr>
      <w:r>
        <w:rPr>
          <w:rFonts w:ascii="Times New Roman" w:cs="Times New Roman" w:eastAsia="Times New Roman" w:hAnsi="Times New Roman"/>
          <w:sz w:val="20"/>
          <w:szCs w:val="20"/>
          <w:color w:val="292929"/>
        </w:rPr>
        <w:t>certain provisions of our amended and restated certificate may only be amended with the approval of at least 662</w:t>
      </w:r>
      <w:r>
        <w:rPr>
          <w:rFonts w:ascii="Arial" w:cs="Arial" w:eastAsia="Arial" w:hAnsi="Arial"/>
          <w:sz w:val="20"/>
          <w:szCs w:val="20"/>
          <w:color w:val="292929"/>
        </w:rPr>
        <w:t>⁄</w:t>
      </w:r>
      <w:r>
        <w:rPr>
          <w:rFonts w:ascii="Times New Roman" w:cs="Times New Roman" w:eastAsia="Times New Roman" w:hAnsi="Times New Roman"/>
          <w:sz w:val="20"/>
          <w:szCs w:val="20"/>
          <w:color w:val="292929"/>
        </w:rPr>
        <w:t>3% of the voting power of all shares of our common stock then outstanding;</w:t>
      </w:r>
    </w:p>
    <w:p>
      <w:pPr>
        <w:spacing w:after="0" w:line="51" w:lineRule="exact"/>
        <w:rPr>
          <w:rFonts w:ascii="Arial" w:cs="Arial" w:eastAsia="Arial" w:hAnsi="Arial"/>
          <w:sz w:val="20"/>
          <w:szCs w:val="20"/>
          <w:color w:val="292929"/>
        </w:rPr>
      </w:pPr>
    </w:p>
    <w:p>
      <w:pPr>
        <w:jc w:val="both"/>
        <w:ind w:left="980" w:right="220" w:hanging="490"/>
        <w:spacing w:after="0" w:line="265" w:lineRule="auto"/>
        <w:tabs>
          <w:tab w:leader="none" w:pos="980" w:val="left"/>
        </w:tabs>
        <w:numPr>
          <w:ilvl w:val="0"/>
          <w:numId w:val="17"/>
        </w:numPr>
        <w:rPr>
          <w:rFonts w:ascii="Arial" w:cs="Arial" w:eastAsia="Arial" w:hAnsi="Arial"/>
          <w:sz w:val="20"/>
          <w:szCs w:val="20"/>
          <w:color w:val="292929"/>
        </w:rPr>
      </w:pPr>
      <w:r>
        <w:rPr>
          <w:rFonts w:ascii="Times New Roman" w:cs="Times New Roman" w:eastAsia="Times New Roman" w:hAnsi="Times New Roman"/>
          <w:sz w:val="20"/>
          <w:szCs w:val="20"/>
          <w:color w:val="292929"/>
        </w:rPr>
        <w:t>the board of directors is expressly authorized to make, alter, or repeal our amended and restated bylaws and that our stockholders may amend our bylaws only with the approval of at least 662</w:t>
      </w:r>
      <w:r>
        <w:rPr>
          <w:rFonts w:ascii="Arial" w:cs="Arial" w:eastAsia="Arial" w:hAnsi="Arial"/>
          <w:sz w:val="20"/>
          <w:szCs w:val="20"/>
          <w:color w:val="292929"/>
        </w:rPr>
        <w:t>⁄</w:t>
      </w:r>
      <w:r>
        <w:rPr>
          <w:rFonts w:ascii="Times New Roman" w:cs="Times New Roman" w:eastAsia="Times New Roman" w:hAnsi="Times New Roman"/>
          <w:sz w:val="20"/>
          <w:szCs w:val="20"/>
          <w:color w:val="292929"/>
        </w:rPr>
        <w:t>3% of the voting power of all shares of our common stock then outstanding; and</w:t>
      </w:r>
    </w:p>
    <w:p>
      <w:pPr>
        <w:spacing w:after="0" w:line="75" w:lineRule="exact"/>
        <w:rPr>
          <w:rFonts w:ascii="Arial" w:cs="Arial" w:eastAsia="Arial" w:hAnsi="Arial"/>
          <w:sz w:val="20"/>
          <w:szCs w:val="20"/>
          <w:color w:val="292929"/>
        </w:rPr>
      </w:pPr>
    </w:p>
    <w:p>
      <w:pPr>
        <w:ind w:left="980" w:hanging="490"/>
        <w:spacing w:after="0"/>
        <w:tabs>
          <w:tab w:leader="none" w:pos="980" w:val="left"/>
        </w:tabs>
        <w:numPr>
          <w:ilvl w:val="0"/>
          <w:numId w:val="17"/>
        </w:numPr>
        <w:rPr>
          <w:rFonts w:ascii="Arial" w:cs="Arial" w:eastAsia="Arial" w:hAnsi="Arial"/>
          <w:sz w:val="20"/>
          <w:szCs w:val="20"/>
          <w:color w:val="292929"/>
        </w:rPr>
      </w:pPr>
      <w:r>
        <w:rPr>
          <w:rFonts w:ascii="Times New Roman" w:cs="Times New Roman" w:eastAsia="Times New Roman" w:hAnsi="Times New Roman"/>
          <w:sz w:val="20"/>
          <w:szCs w:val="20"/>
          <w:color w:val="292929"/>
        </w:rPr>
        <w:t>special meetings of the stockholders may not be called at the request of stockholders.</w:t>
      </w:r>
    </w:p>
    <w:p>
      <w:pPr>
        <w:spacing w:after="0" w:line="239" w:lineRule="exact"/>
        <w:rPr>
          <w:sz w:val="20"/>
          <w:szCs w:val="20"/>
          <w:color w:val="auto"/>
        </w:rPr>
      </w:pPr>
    </w:p>
    <w:p>
      <w:pPr>
        <w:ind w:right="280" w:firstLine="490"/>
        <w:spacing w:after="0" w:line="247" w:lineRule="auto"/>
        <w:rPr>
          <w:sz w:val="20"/>
          <w:szCs w:val="20"/>
          <w:color w:val="auto"/>
        </w:rPr>
      </w:pPr>
      <w:r>
        <w:rPr>
          <w:rFonts w:ascii="Times New Roman" w:cs="Times New Roman" w:eastAsia="Times New Roman" w:hAnsi="Times New Roman"/>
          <w:sz w:val="20"/>
          <w:szCs w:val="20"/>
          <w:color w:val="292929"/>
        </w:rPr>
        <w:t>In addition, as a Delaware corporation, we are subject to Section 203 of the DGCL. These provisions may prohibit large stockholders, in particular those owning 15% or more of our outstanding voting stock, from merging or combining with us for a period of time. In addition, debt instruments we may enter into in the future may include provisions entitling the lenders to demand immediate repayment of all borrowings upon the occurrence of certain change of control events relating to our company, which also could discourage, delay or prevent a business combination transaction.</w:t>
      </w:r>
    </w:p>
    <w:p>
      <w:pPr>
        <w:spacing w:after="0" w:line="320"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b w:val="1"/>
          <w:bCs w:val="1"/>
          <w:i w:val="1"/>
          <w:iCs w:val="1"/>
          <w:color w:val="292929"/>
        </w:rPr>
        <w:t>Our amended and restated certificate of incorporation includes an exclusive forum clause, which could limit our stockholders’ ability to obtain a favorable judicial forum for disputes with us.</w:t>
      </w:r>
    </w:p>
    <w:p>
      <w:pPr>
        <w:spacing w:after="0" w:line="49" w:lineRule="exact"/>
        <w:rPr>
          <w:sz w:val="20"/>
          <w:szCs w:val="20"/>
          <w:color w:val="auto"/>
        </w:rPr>
      </w:pPr>
    </w:p>
    <w:p>
      <w:pPr>
        <w:ind w:right="180" w:firstLine="490"/>
        <w:spacing w:after="0" w:line="243" w:lineRule="auto"/>
        <w:rPr>
          <w:sz w:val="20"/>
          <w:szCs w:val="20"/>
          <w:color w:val="auto"/>
        </w:rPr>
      </w:pPr>
      <w:r>
        <w:rPr>
          <w:rFonts w:ascii="Times New Roman" w:cs="Times New Roman" w:eastAsia="Times New Roman" w:hAnsi="Times New Roman"/>
          <w:sz w:val="20"/>
          <w:szCs w:val="20"/>
          <w:color w:val="292929"/>
        </w:rPr>
        <w:t>Our amended and restated certificate of incorporation provides that the Court of Chancery of the State of Delaware shall be the sole and exclusive forum for any complaint asserting any internal corporate claims, including claims in the right of the Company that are based upon a violation of a duty by a current or former director, officer, employee or stockholder in such capacity, or as to which the DGCL confers jurisdiction upon the Court of Chancery. In addition, our amended and restated certificate of incorporation provide that the federal district courts of the United States will be the exclusive forum for resolving any complaint asserting a cause of action arising under the Securities Act. We note, however,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This forum selection provision will not apply to claims brought to enforce a duty or liability created by the Securities and Exchange Act of 1934, as amended (the “Exchange Act”).</w:t>
      </w:r>
    </w:p>
    <w:p>
      <w:pPr>
        <w:spacing w:after="0" w:line="209" w:lineRule="exact"/>
        <w:rPr>
          <w:sz w:val="20"/>
          <w:szCs w:val="20"/>
          <w:color w:val="auto"/>
        </w:rPr>
      </w:pPr>
    </w:p>
    <w:p>
      <w:pPr>
        <w:ind w:right="200" w:firstLine="490"/>
        <w:spacing w:after="0" w:line="246" w:lineRule="auto"/>
        <w:rPr>
          <w:sz w:val="20"/>
          <w:szCs w:val="20"/>
          <w:color w:val="auto"/>
        </w:rPr>
      </w:pPr>
      <w:r>
        <w:rPr>
          <w:rFonts w:ascii="Times New Roman" w:cs="Times New Roman" w:eastAsia="Times New Roman" w:hAnsi="Times New Roman"/>
          <w:sz w:val="20"/>
          <w:szCs w:val="20"/>
          <w:color w:val="292929"/>
        </w:rPr>
        <w:t>This choice of forum provision may limit a stockholder’s ability to bring a claim against us and our directors, officers, or other employees in other judicial forums, which may discourage lawsuits against us and our directors, officers and other employees in jurisdictions other than the State of Delaware, or federal courts, in the case of claims arising under the Securities Act.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have a material adverse effect on our business, financial condition, or results of operations.</w:t>
      </w:r>
    </w:p>
    <w:p>
      <w:pPr>
        <w:spacing w:after="0" w:line="200"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color w:val="292929"/>
        </w:rPr>
        <w:t>Any person or entity purchasing or otherwise acquiring any interest in shares of our capital stock is deemed to have received notice of and consented to the foregoing provisions. This exclusive forum clause may limit our stockholders’ ability to obtain a favorable judicial forum for disputes with us.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ectPr>
          <w:pgSz w:w="12240" w:h="15840" w:orient="portrait"/>
          <w:cols w:equalWidth="0" w:num="1">
            <w:col w:w="9540"/>
          </w:cols>
          <w:pgMar w:left="1260" w:top="1254"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540"/>
          </w:cols>
          <w:pgMar w:left="1260" w:top="1254" w:right="1440" w:bottom="355" w:gutter="0" w:footer="0" w:header="0"/>
          <w:type w:val="continuous"/>
        </w:sectPr>
      </w:pPr>
    </w:p>
    <w:bookmarkStart w:id="34" w:name="page35"/>
    <w:bookmarkEnd w:id="34"/>
    <w:p>
      <w:pPr>
        <w:ind w:right="440"/>
        <w:spacing w:after="0" w:line="277" w:lineRule="auto"/>
        <w:rPr>
          <w:sz w:val="20"/>
          <w:szCs w:val="20"/>
          <w:color w:val="auto"/>
        </w:rPr>
      </w:pPr>
      <w:r>
        <w:rPr>
          <w:rFonts w:ascii="Times New Roman" w:cs="Times New Roman" w:eastAsia="Times New Roman" w:hAnsi="Times New Roman"/>
          <w:sz w:val="20"/>
          <w:szCs w:val="20"/>
          <w:b w:val="1"/>
          <w:bCs w:val="1"/>
          <w:i w:val="1"/>
          <w:iCs w:val="1"/>
          <w:color w:val="292929"/>
        </w:rPr>
        <w:t>Our current indebtedness, and any future indebtedness we may incur, may limit our operational and financing flexibility and negatively impact our business.</w:t>
      </w:r>
    </w:p>
    <w:p>
      <w:pPr>
        <w:spacing w:after="0" w:line="49" w:lineRule="exact"/>
        <w:rPr>
          <w:sz w:val="20"/>
          <w:szCs w:val="20"/>
          <w:color w:val="auto"/>
        </w:rPr>
      </w:pPr>
    </w:p>
    <w:p>
      <w:pPr>
        <w:ind w:right="280" w:firstLine="490"/>
        <w:spacing w:after="0" w:line="252" w:lineRule="auto"/>
        <w:rPr>
          <w:sz w:val="20"/>
          <w:szCs w:val="20"/>
          <w:color w:val="auto"/>
        </w:rPr>
      </w:pPr>
      <w:r>
        <w:rPr>
          <w:rFonts w:ascii="Times New Roman" w:cs="Times New Roman" w:eastAsia="Times New Roman" w:hAnsi="Times New Roman"/>
          <w:sz w:val="20"/>
          <w:szCs w:val="20"/>
          <w:color w:val="292929"/>
        </w:rPr>
        <w:t>We have a $20.0 million revolving line of credit with Pacific City Bank. As of December 31, 2025, the aggregate principal amount of our debt outstanding under this line of credit was $1.0 million, although we have the ability to increase borrowings under this line of credit, subject to satisfaction of the conditions contained in the loan agreement. On January 12, 2026, the Company paid the $1.0 million balance on the line of credit.</w:t>
      </w:r>
    </w:p>
    <w:p>
      <w:pPr>
        <w:spacing w:after="0" w:line="194" w:lineRule="exact"/>
        <w:rPr>
          <w:sz w:val="20"/>
          <w:szCs w:val="20"/>
          <w:color w:val="auto"/>
        </w:rPr>
      </w:pPr>
    </w:p>
    <w:p>
      <w:pPr>
        <w:ind w:right="180" w:firstLine="490"/>
        <w:spacing w:after="0" w:line="258" w:lineRule="auto"/>
        <w:rPr>
          <w:sz w:val="20"/>
          <w:szCs w:val="20"/>
          <w:color w:val="auto"/>
        </w:rPr>
      </w:pPr>
      <w:r>
        <w:rPr>
          <w:rFonts w:ascii="Times New Roman" w:cs="Times New Roman" w:eastAsia="Times New Roman" w:hAnsi="Times New Roman"/>
          <w:sz w:val="20"/>
          <w:szCs w:val="20"/>
          <w:color w:val="292929"/>
        </w:rPr>
        <w:t>We have outstanding Economic Injury Disaster Loans, (“EIDL”), in the aggregate amount of $4.3 million, due in 2050 and 2051. We also may enter into new borrowing arrangements and incur significant indebtedness in the future to continue to support our growth.</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92929"/>
        </w:rPr>
        <w:t>Our existing and any future indebtedness could have significant consequences, including:</w:t>
      </w:r>
    </w:p>
    <w:p>
      <w:pPr>
        <w:spacing w:after="0" w:line="134" w:lineRule="exact"/>
        <w:rPr>
          <w:sz w:val="20"/>
          <w:szCs w:val="20"/>
          <w:color w:val="auto"/>
        </w:rPr>
      </w:pPr>
    </w:p>
    <w:p>
      <w:pPr>
        <w:ind w:left="980" w:hanging="490"/>
        <w:spacing w:after="0"/>
        <w:tabs>
          <w:tab w:leader="none" w:pos="980" w:val="left"/>
        </w:tabs>
        <w:numPr>
          <w:ilvl w:val="0"/>
          <w:numId w:val="18"/>
        </w:numPr>
        <w:rPr>
          <w:rFonts w:ascii="Arial" w:cs="Arial" w:eastAsia="Arial" w:hAnsi="Arial"/>
          <w:sz w:val="20"/>
          <w:szCs w:val="20"/>
          <w:color w:val="292929"/>
        </w:rPr>
      </w:pPr>
      <w:r>
        <w:rPr>
          <w:rFonts w:ascii="Times New Roman" w:cs="Times New Roman" w:eastAsia="Times New Roman" w:hAnsi="Times New Roman"/>
          <w:sz w:val="20"/>
          <w:szCs w:val="20"/>
          <w:color w:val="292929"/>
        </w:rPr>
        <w:t>greater difficulty for us to make payments on our existing indebtedness;</w:t>
      </w:r>
    </w:p>
    <w:p>
      <w:pPr>
        <w:spacing w:after="0" w:line="133" w:lineRule="exact"/>
        <w:rPr>
          <w:rFonts w:ascii="Arial" w:cs="Arial" w:eastAsia="Arial" w:hAnsi="Arial"/>
          <w:sz w:val="20"/>
          <w:szCs w:val="20"/>
          <w:color w:val="292929"/>
        </w:rPr>
      </w:pPr>
    </w:p>
    <w:p>
      <w:pPr>
        <w:ind w:left="980" w:hanging="490"/>
        <w:spacing w:after="0"/>
        <w:tabs>
          <w:tab w:leader="none" w:pos="980" w:val="left"/>
        </w:tabs>
        <w:numPr>
          <w:ilvl w:val="0"/>
          <w:numId w:val="18"/>
        </w:numPr>
        <w:rPr>
          <w:rFonts w:ascii="Arial" w:cs="Arial" w:eastAsia="Arial" w:hAnsi="Arial"/>
          <w:sz w:val="20"/>
          <w:szCs w:val="20"/>
          <w:color w:val="292929"/>
        </w:rPr>
      </w:pPr>
      <w:r>
        <w:rPr>
          <w:rFonts w:ascii="Times New Roman" w:cs="Times New Roman" w:eastAsia="Times New Roman" w:hAnsi="Times New Roman"/>
          <w:sz w:val="20"/>
          <w:szCs w:val="20"/>
          <w:color w:val="292929"/>
        </w:rPr>
        <w:t>increased vulnerability to general economic and industry conditions;</w:t>
      </w:r>
    </w:p>
    <w:p>
      <w:pPr>
        <w:spacing w:after="0" w:line="133" w:lineRule="exact"/>
        <w:rPr>
          <w:rFonts w:ascii="Arial" w:cs="Arial" w:eastAsia="Arial" w:hAnsi="Arial"/>
          <w:sz w:val="20"/>
          <w:szCs w:val="20"/>
          <w:color w:val="292929"/>
        </w:rPr>
      </w:pPr>
    </w:p>
    <w:p>
      <w:pPr>
        <w:ind w:left="980" w:right="300" w:hanging="490"/>
        <w:spacing w:after="0" w:line="258" w:lineRule="auto"/>
        <w:tabs>
          <w:tab w:leader="none" w:pos="980" w:val="left"/>
        </w:tabs>
        <w:numPr>
          <w:ilvl w:val="0"/>
          <w:numId w:val="18"/>
        </w:numPr>
        <w:rPr>
          <w:rFonts w:ascii="Arial" w:cs="Arial" w:eastAsia="Arial" w:hAnsi="Arial"/>
          <w:sz w:val="20"/>
          <w:szCs w:val="20"/>
          <w:color w:val="292929"/>
        </w:rPr>
      </w:pPr>
      <w:r>
        <w:rPr>
          <w:rFonts w:ascii="Times New Roman" w:cs="Times New Roman" w:eastAsia="Times New Roman" w:hAnsi="Times New Roman"/>
          <w:sz w:val="20"/>
          <w:szCs w:val="20"/>
          <w:color w:val="292929"/>
        </w:rPr>
        <w:t>the requirement that a substantial portion of our cash flow from operations be dedicated to the payment of principal and interest on our indebtedness, thereby reducing our ability to use our cash flow to fund our operations, capital expenditures and future business opportunities;</w:t>
      </w:r>
    </w:p>
    <w:p>
      <w:pPr>
        <w:spacing w:after="0" w:line="81" w:lineRule="exact"/>
        <w:rPr>
          <w:rFonts w:ascii="Arial" w:cs="Arial" w:eastAsia="Arial" w:hAnsi="Arial"/>
          <w:sz w:val="20"/>
          <w:szCs w:val="20"/>
          <w:color w:val="292929"/>
        </w:rPr>
      </w:pPr>
    </w:p>
    <w:p>
      <w:pPr>
        <w:ind w:left="980" w:right="240" w:hanging="490"/>
        <w:spacing w:after="0" w:line="276" w:lineRule="auto"/>
        <w:tabs>
          <w:tab w:leader="none" w:pos="980" w:val="left"/>
        </w:tabs>
        <w:numPr>
          <w:ilvl w:val="0"/>
          <w:numId w:val="18"/>
        </w:numPr>
        <w:rPr>
          <w:rFonts w:ascii="Arial" w:cs="Arial" w:eastAsia="Arial" w:hAnsi="Arial"/>
          <w:sz w:val="20"/>
          <w:szCs w:val="20"/>
          <w:color w:val="292929"/>
        </w:rPr>
      </w:pPr>
      <w:r>
        <w:rPr>
          <w:rFonts w:ascii="Times New Roman" w:cs="Times New Roman" w:eastAsia="Times New Roman" w:hAnsi="Times New Roman"/>
          <w:sz w:val="20"/>
          <w:szCs w:val="20"/>
          <w:color w:val="292929"/>
        </w:rPr>
        <w:t>exposure to the risk of increased interest rates on our borrowings under our promissory note, which is at variable rates of interest;</w:t>
      </w:r>
    </w:p>
    <w:p>
      <w:pPr>
        <w:spacing w:after="0" w:line="64" w:lineRule="exact"/>
        <w:rPr>
          <w:rFonts w:ascii="Arial" w:cs="Arial" w:eastAsia="Arial" w:hAnsi="Arial"/>
          <w:sz w:val="20"/>
          <w:szCs w:val="20"/>
          <w:color w:val="292929"/>
        </w:rPr>
      </w:pPr>
    </w:p>
    <w:p>
      <w:pPr>
        <w:ind w:left="980" w:right="540" w:hanging="490"/>
        <w:spacing w:after="0" w:line="276" w:lineRule="auto"/>
        <w:tabs>
          <w:tab w:leader="none" w:pos="980" w:val="left"/>
        </w:tabs>
        <w:numPr>
          <w:ilvl w:val="0"/>
          <w:numId w:val="18"/>
        </w:numPr>
        <w:rPr>
          <w:rFonts w:ascii="Arial" w:cs="Arial" w:eastAsia="Arial" w:hAnsi="Arial"/>
          <w:sz w:val="20"/>
          <w:szCs w:val="20"/>
          <w:color w:val="292929"/>
        </w:rPr>
      </w:pPr>
      <w:r>
        <w:rPr>
          <w:rFonts w:ascii="Times New Roman" w:cs="Times New Roman" w:eastAsia="Times New Roman" w:hAnsi="Times New Roman"/>
          <w:sz w:val="20"/>
          <w:szCs w:val="20"/>
          <w:color w:val="292929"/>
        </w:rPr>
        <w:t>limitation of our ability to obtain additional financing for working capital, capital expenditures, debt service requirements, acquisitions and general corporate or other purposes; and</w:t>
      </w:r>
    </w:p>
    <w:p>
      <w:pPr>
        <w:spacing w:after="0" w:line="64" w:lineRule="exact"/>
        <w:rPr>
          <w:rFonts w:ascii="Arial" w:cs="Arial" w:eastAsia="Arial" w:hAnsi="Arial"/>
          <w:sz w:val="20"/>
          <w:szCs w:val="20"/>
          <w:color w:val="292929"/>
        </w:rPr>
      </w:pPr>
    </w:p>
    <w:p>
      <w:pPr>
        <w:ind w:left="980" w:right="940" w:hanging="490"/>
        <w:spacing w:after="0" w:line="276" w:lineRule="auto"/>
        <w:tabs>
          <w:tab w:leader="none" w:pos="980" w:val="left"/>
        </w:tabs>
        <w:numPr>
          <w:ilvl w:val="0"/>
          <w:numId w:val="18"/>
        </w:numPr>
        <w:rPr>
          <w:rFonts w:ascii="Arial" w:cs="Arial" w:eastAsia="Arial" w:hAnsi="Arial"/>
          <w:sz w:val="20"/>
          <w:szCs w:val="20"/>
          <w:color w:val="292929"/>
        </w:rPr>
      </w:pPr>
      <w:r>
        <w:rPr>
          <w:rFonts w:ascii="Times New Roman" w:cs="Times New Roman" w:eastAsia="Times New Roman" w:hAnsi="Times New Roman"/>
          <w:sz w:val="20"/>
          <w:szCs w:val="20"/>
          <w:color w:val="292929"/>
        </w:rPr>
        <w:t>limitation of our ability to adjust to changing market conditions and placing us at a competitive disadvantage compared to our competitors who are less highly leveraged.</w:t>
      </w:r>
    </w:p>
    <w:p>
      <w:pPr>
        <w:spacing w:after="0" w:line="170" w:lineRule="exact"/>
        <w:rPr>
          <w:sz w:val="20"/>
          <w:szCs w:val="20"/>
          <w:color w:val="auto"/>
        </w:rPr>
      </w:pPr>
    </w:p>
    <w:p>
      <w:pPr>
        <w:ind w:right="220" w:firstLine="490"/>
        <w:spacing w:after="0" w:line="247" w:lineRule="auto"/>
        <w:rPr>
          <w:sz w:val="20"/>
          <w:szCs w:val="20"/>
          <w:color w:val="auto"/>
        </w:rPr>
      </w:pPr>
      <w:r>
        <w:rPr>
          <w:rFonts w:ascii="Times New Roman" w:cs="Times New Roman" w:eastAsia="Times New Roman" w:hAnsi="Times New Roman"/>
          <w:sz w:val="20"/>
          <w:szCs w:val="20"/>
          <w:color w:val="292929"/>
        </w:rPr>
        <w:t>Our ability to make payments on debt, to repay existing or future indebtedness when due, and to fund operations and significant planned capital expenditures will depend on our ability to generate cash in the future. Our ability to produce cash from operations is, and will be, subject to a number of risks, including those described in this Annual Report. Our financial condition, including our ability to make payments on our debt, is also dependent on external factors such as interest rates, the level of lending activity in the credit markets and other external industry-specific and more general external factors, including those described in this Annual Report.</w:t>
      </w:r>
    </w:p>
    <w:p>
      <w:pPr>
        <w:spacing w:after="0" w:line="200" w:lineRule="exact"/>
        <w:rPr>
          <w:sz w:val="20"/>
          <w:szCs w:val="20"/>
          <w:color w:val="auto"/>
        </w:rPr>
      </w:pPr>
    </w:p>
    <w:p>
      <w:pPr>
        <w:ind w:right="380" w:firstLine="490"/>
        <w:spacing w:after="0" w:line="277" w:lineRule="auto"/>
        <w:rPr>
          <w:sz w:val="20"/>
          <w:szCs w:val="20"/>
          <w:color w:val="auto"/>
        </w:rPr>
      </w:pPr>
      <w:r>
        <w:rPr>
          <w:rFonts w:ascii="Times New Roman" w:cs="Times New Roman" w:eastAsia="Times New Roman" w:hAnsi="Times New Roman"/>
          <w:sz w:val="20"/>
          <w:szCs w:val="20"/>
          <w:color w:val="292929"/>
        </w:rPr>
        <w:t>We may not be able to borrow additional financing or to refinance our current debt or other indebtedness we may incur in the future, if required, on commercially reasonable terms, if at all.</w:t>
      </w:r>
    </w:p>
    <w:p>
      <w:pPr>
        <w:spacing w:after="0" w:line="289" w:lineRule="exact"/>
        <w:rPr>
          <w:sz w:val="20"/>
          <w:szCs w:val="20"/>
          <w:color w:val="auto"/>
        </w:rPr>
      </w:pPr>
    </w:p>
    <w:p>
      <w:pPr>
        <w:ind w:right="4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requirements of being a public company may strain our resources, divert our management’s attention and affect our ability to attract and retain qualified board members.</w:t>
      </w:r>
    </w:p>
    <w:p>
      <w:pPr>
        <w:spacing w:after="0" w:line="49" w:lineRule="exact"/>
        <w:rPr>
          <w:sz w:val="20"/>
          <w:szCs w:val="20"/>
          <w:color w:val="auto"/>
        </w:rPr>
      </w:pPr>
    </w:p>
    <w:p>
      <w:pPr>
        <w:ind w:right="220" w:firstLine="490"/>
        <w:spacing w:after="0" w:line="243" w:lineRule="auto"/>
        <w:rPr>
          <w:sz w:val="20"/>
          <w:szCs w:val="20"/>
          <w:color w:val="auto"/>
        </w:rPr>
      </w:pPr>
      <w:r>
        <w:rPr>
          <w:rFonts w:ascii="Times New Roman" w:cs="Times New Roman" w:eastAsia="Times New Roman" w:hAnsi="Times New Roman"/>
          <w:sz w:val="20"/>
          <w:szCs w:val="20"/>
          <w:color w:val="auto"/>
        </w:rPr>
        <w:t>As a public company, we are subject to the reporting requirements of the Exchange Act, and are required to comply with applicable requirements of the Sarbanes -Oxley Act and the Dodd-Frank Wall Street Reform and Consumer Protection Act, the listing requirements of the Nasdaq Stock Market, and other applicable securities rules and regulations. Compliance with these rules and regulations will increase our legal and financial compliance costs, make some activities more difficult, time-consuming or costly and increase demand on our systems and resources. Among other things, the Exchange Act requires that we file annual, quarterly, and current reports with respect to our business and operating results and maintain effective disclosure controls and procedures and internal controls over financial reporting. Significant resources and management oversight will be required to maintain and, if required, improve our disclosure controls and procedures and internal controls over financial reporting to meet this standard. As a result, management’s attention may be diverted from other business concerns, which could harm our business and operating results. Although we have already hired employees to comply with these requirements, we may need to hire even more employees in the future, which will increase our costs and expenses.</w:t>
      </w:r>
    </w:p>
    <w:p>
      <w:pPr>
        <w:spacing w:after="0" w:line="206" w:lineRule="exact"/>
        <w:rPr>
          <w:sz w:val="20"/>
          <w:szCs w:val="20"/>
          <w:color w:val="auto"/>
        </w:rPr>
      </w:pPr>
    </w:p>
    <w:p>
      <w:pPr>
        <w:ind w:right="300" w:firstLine="490"/>
        <w:spacing w:after="0" w:line="305" w:lineRule="auto"/>
        <w:rPr>
          <w:sz w:val="20"/>
          <w:szCs w:val="20"/>
          <w:color w:val="auto"/>
        </w:rPr>
      </w:pPr>
      <w:r>
        <w:rPr>
          <w:rFonts w:ascii="Times New Roman" w:cs="Times New Roman" w:eastAsia="Times New Roman" w:hAnsi="Times New Roman"/>
          <w:sz w:val="19"/>
          <w:szCs w:val="19"/>
          <w:color w:val="auto"/>
        </w:rPr>
        <w:t>We also expect that being a public company and these new rules and regulations will make it more expensive for us to obtain director and officer liability insurance, and we may be required to accept reduced coverage or incur</w:t>
      </w:r>
    </w:p>
    <w:p>
      <w:pPr>
        <w:sectPr>
          <w:pgSz w:w="12240" w:h="15840" w:orient="portrait"/>
          <w:cols w:equalWidth="0" w:num="1">
            <w:col w:w="9540"/>
          </w:cols>
          <w:pgMar w:left="1260" w:top="1240" w:right="1440" w:bottom="355" w:gutter="0" w:footer="0" w:header="0"/>
        </w:sectPr>
      </w:pPr>
    </w:p>
    <w:p>
      <w:pPr>
        <w:spacing w:after="0" w:line="39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540"/>
          </w:cols>
          <w:pgMar w:left="1260" w:top="1240" w:right="1440" w:bottom="355" w:gutter="0" w:footer="0" w:header="0"/>
          <w:type w:val="continuous"/>
        </w:sectPr>
      </w:pPr>
    </w:p>
    <w:bookmarkStart w:id="35" w:name="page36"/>
    <w:bookmarkEnd w:id="35"/>
    <w:p>
      <w:pPr>
        <w:jc w:val="both"/>
        <w:ind w:right="420"/>
        <w:spacing w:after="0" w:line="258" w:lineRule="auto"/>
        <w:rPr>
          <w:sz w:val="20"/>
          <w:szCs w:val="20"/>
          <w:color w:val="auto"/>
        </w:rPr>
      </w:pPr>
      <w:r>
        <w:rPr>
          <w:rFonts w:ascii="Times New Roman" w:cs="Times New Roman" w:eastAsia="Times New Roman" w:hAnsi="Times New Roman"/>
          <w:sz w:val="20"/>
          <w:szCs w:val="20"/>
          <w:color w:val="auto"/>
        </w:rPr>
        <w:t>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management team has limited experience managing a public company.</w:t>
      </w:r>
    </w:p>
    <w:p>
      <w:pPr>
        <w:spacing w:after="0" w:line="120" w:lineRule="exact"/>
        <w:rPr>
          <w:sz w:val="20"/>
          <w:szCs w:val="20"/>
          <w:color w:val="auto"/>
        </w:rPr>
      </w:pPr>
    </w:p>
    <w:p>
      <w:pPr>
        <w:ind w:right="180" w:firstLine="490"/>
        <w:spacing w:after="0" w:line="246" w:lineRule="auto"/>
        <w:rPr>
          <w:sz w:val="20"/>
          <w:szCs w:val="20"/>
          <w:color w:val="auto"/>
        </w:rPr>
      </w:pPr>
      <w:r>
        <w:rPr>
          <w:rFonts w:ascii="Times New Roman" w:cs="Times New Roman" w:eastAsia="Times New Roman" w:hAnsi="Times New Roman"/>
          <w:sz w:val="20"/>
          <w:szCs w:val="20"/>
          <w:color w:val="auto"/>
        </w:rPr>
        <w:t>Most members of our management team have limited or no experience managing a publicly traded company, interacting with public company investors, and complying with the increasingly complex laws, rules, and regulations that govern public companies. These are significant obligations we will now be subject to relating to reporting procedures and internal controls, and our management team may not successfully or efficiently manage our transition to being a public company. These new obligations and added scrutiny will require significant attention from our management and could divert their attention away from the day-to-day management of our business, which could adversely affect our business, operating results, and financial condition.</w:t>
      </w:r>
    </w:p>
    <w:p>
      <w:pPr>
        <w:spacing w:after="0" w:line="320"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had identified two material weaknesses in our internal control over financial reporting in the year 2023. Our remediation in 2024 of such material weaknesses is effective, however, if we fail to maintain an effective system of disclosure controls and internal control over financial reporting, our ability to produce timely, accurate and reliable financial statements would be impaired</w:t>
      </w:r>
      <w:r>
        <w:rPr>
          <w:rFonts w:ascii="Times New Roman" w:cs="Times New Roman" w:eastAsia="Times New Roman" w:hAnsi="Times New Roman"/>
          <w:sz w:val="20"/>
          <w:szCs w:val="20"/>
          <w:color w:val="auto"/>
        </w:rPr>
        <w:t>.</w:t>
      </w:r>
    </w:p>
    <w:p>
      <w:pPr>
        <w:spacing w:after="0" w:line="74" w:lineRule="exact"/>
        <w:rPr>
          <w:sz w:val="20"/>
          <w:szCs w:val="20"/>
          <w:color w:val="auto"/>
        </w:rPr>
      </w:pPr>
    </w:p>
    <w:p>
      <w:pPr>
        <w:ind w:right="180" w:firstLine="490"/>
        <w:spacing w:after="0" w:line="244" w:lineRule="auto"/>
        <w:rPr>
          <w:sz w:val="20"/>
          <w:szCs w:val="20"/>
          <w:color w:val="auto"/>
        </w:rPr>
      </w:pPr>
      <w:r>
        <w:rPr>
          <w:rFonts w:ascii="Times New Roman" w:cs="Times New Roman" w:eastAsia="Times New Roman" w:hAnsi="Times New Roman"/>
          <w:sz w:val="20"/>
          <w:szCs w:val="20"/>
          <w:color w:val="auto"/>
        </w:rPr>
        <w:t>A material weakness is a deficiency or combination of deficiencies in internal control over financial reporting such that there is a reasonable possibility that a material misstatement of our financial statements would not be prevented or detected on a timely basis. We had identified two material weaknesses in our internal control over financial reporting in 2023, that was remediated in 2024. The first material weakness related to a lack of adequate and timely review of accounts and reconciliations by management, primarily due to a large number of accounting journal entries across GEN Restaurant Group’s operating entities resulting in material audit adjustment and significant post-closing adjustments. The second material weakness related to an inadequate design of our information technology controls and inappropriate access by members of our finance team, primarily due to the open architecture of our accounting system and a lack of segregation of duties within our finance team.</w:t>
      </w:r>
    </w:p>
    <w:p>
      <w:pPr>
        <w:spacing w:after="0" w:line="206" w:lineRule="exact"/>
        <w:rPr>
          <w:sz w:val="20"/>
          <w:szCs w:val="20"/>
          <w:color w:val="auto"/>
        </w:rPr>
      </w:pPr>
    </w:p>
    <w:p>
      <w:pPr>
        <w:ind w:right="260" w:firstLine="490"/>
        <w:spacing w:after="0" w:line="242" w:lineRule="auto"/>
        <w:rPr>
          <w:sz w:val="20"/>
          <w:szCs w:val="20"/>
          <w:color w:val="auto"/>
        </w:rPr>
      </w:pPr>
      <w:r>
        <w:rPr>
          <w:rFonts w:ascii="Times New Roman" w:cs="Times New Roman" w:eastAsia="Times New Roman" w:hAnsi="Times New Roman"/>
          <w:sz w:val="20"/>
          <w:szCs w:val="20"/>
          <w:color w:val="auto"/>
        </w:rPr>
        <w:t>Our management developed and implemented remediation plans, including operation improvements designed to limit journal entries as well as implementation of an accounting system with a closed architecture. The material weaknesses was considered remediated when, after design and implementation, management has concluded, through testing, that these controls are effective. Our management will monitor the effectiveness of its remediation plans and will maintain the changes management put into place, and any new ones as determined to be appropriate. If remediation is not maintain, material weaknesses could result in further material misstatements to our annual or interim financial statements that might not be prevented or detected on a timely basis, or in delayed filing of required periodic reports. In the future, if we are unable to assert that our internal control over financial reporting is effective, or if our Independent Registered Public Accounting Firm is unable to express an unqualified opinion as to the effectiveness of the Company’s internal control over financial reporting, when required in the future, investors may lose confidence in the accuracy and completeness of our financial reports, the market price of the Class A common stock could be adversely affected and we could become subject to litigation or investigations by the Exchange, the Securities and Exchange Commission, (the “SEC”), or other regulatory authorities, which could require additional financial and management resources.</w:t>
      </w:r>
    </w:p>
    <w:p>
      <w:pPr>
        <w:spacing w:after="0" w:line="33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are an “emerging growth company” and a “smaller reporting company” and as a result of the reduced disclosure requirement applicable to emerging growth companies and smaller reporting companies, our common stock may be less attractive to investors.</w:t>
      </w:r>
    </w:p>
    <w:p>
      <w:pPr>
        <w:spacing w:after="0" w:line="68" w:lineRule="exact"/>
        <w:rPr>
          <w:sz w:val="20"/>
          <w:szCs w:val="20"/>
          <w:color w:val="auto"/>
        </w:rPr>
      </w:pPr>
    </w:p>
    <w:p>
      <w:pPr>
        <w:ind w:right="180" w:firstLine="490"/>
        <w:spacing w:after="0" w:line="245" w:lineRule="auto"/>
        <w:rPr>
          <w:sz w:val="20"/>
          <w:szCs w:val="20"/>
          <w:color w:val="auto"/>
        </w:rPr>
      </w:pPr>
      <w:r>
        <w:rPr>
          <w:rFonts w:ascii="Times New Roman" w:cs="Times New Roman" w:eastAsia="Times New Roman" w:hAnsi="Times New Roman"/>
          <w:sz w:val="20"/>
          <w:szCs w:val="20"/>
          <w:color w:val="auto"/>
        </w:rPr>
        <w:t>We are an “emerging growth company,” as defined in the Jumpstart Our Business Startups (“JOBS”) Act, and a “smaller reporting company,” as defined under the Exchange Act. As an emerging growth company and a smaller reporting company, we are permitted to follow reduced disclosure requirements compared to those of public companies that are not emerging growth companies or smaller reporting companies do. We will remain an emerging growth company until the earlier of (a) the last day of the fiscal year in which we have total annual gross revenue of $1.235 billion or more; (b) the last day of the fiscal year following the fifth anniversary of the date of the completion of our initial public offering; (c) the date on which we have issued more than $1 billion in nonconvertible debt during the previous three years; or (d) the date on which we are deemed to be a large accelerated filer under the rules</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540"/>
          </w:cols>
          <w:pgMar w:left="1260" w:top="1240" w:right="1440" w:bottom="355" w:gutter="0" w:footer="0" w:header="0"/>
          <w:type w:val="continuous"/>
        </w:sectPr>
      </w:pPr>
    </w:p>
    <w:bookmarkStart w:id="36" w:name="page37"/>
    <w:bookmarkEnd w:id="36"/>
    <w:p>
      <w:pPr>
        <w:ind w:right="260"/>
        <w:spacing w:after="0" w:line="249" w:lineRule="auto"/>
        <w:rPr>
          <w:sz w:val="20"/>
          <w:szCs w:val="20"/>
          <w:color w:val="auto"/>
        </w:rPr>
      </w:pPr>
      <w:r>
        <w:rPr>
          <w:rFonts w:ascii="Times New Roman" w:cs="Times New Roman" w:eastAsia="Times New Roman" w:hAnsi="Times New Roman"/>
          <w:sz w:val="20"/>
          <w:szCs w:val="20"/>
          <w:color w:val="auto"/>
        </w:rPr>
        <w:t>of the SEC, which means the market value of our voting and non-voting common stock that is held by non-affiliates exceeds $700 million as of the prior June 30th (and we have been a public company for at least 12 months and have filed at least one annual report on Form 10-K).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91" w:lineRule="exact"/>
        <w:rPr>
          <w:sz w:val="20"/>
          <w:szCs w:val="20"/>
          <w:color w:val="auto"/>
        </w:rPr>
      </w:pPr>
    </w:p>
    <w:p>
      <w:pPr>
        <w:ind w:left="980" w:right="1380" w:hanging="490"/>
        <w:spacing w:after="0" w:line="258" w:lineRule="auto"/>
        <w:tabs>
          <w:tab w:leader="none" w:pos="980" w:val="left"/>
        </w:tabs>
        <w:numPr>
          <w:ilvl w:val="0"/>
          <w:numId w:val="19"/>
        </w:numPr>
        <w:rPr>
          <w:rFonts w:ascii="Arial" w:cs="Arial" w:eastAsia="Arial" w:hAnsi="Arial"/>
          <w:sz w:val="20"/>
          <w:szCs w:val="20"/>
          <w:color w:val="292929"/>
        </w:rPr>
      </w:pPr>
      <w:r>
        <w:rPr>
          <w:rFonts w:ascii="Times New Roman" w:cs="Times New Roman" w:eastAsia="Times New Roman" w:hAnsi="Times New Roman"/>
          <w:sz w:val="20"/>
          <w:szCs w:val="20"/>
          <w:color w:val="292929"/>
        </w:rPr>
        <w:t>presenting only two years of audited financial statements and only two years of related Management’s Discussion and Analysis of Financial Condition and Results of Operations disclosure;</w:t>
      </w:r>
    </w:p>
    <w:p>
      <w:pPr>
        <w:spacing w:after="0" w:line="81" w:lineRule="exact"/>
        <w:rPr>
          <w:rFonts w:ascii="Arial" w:cs="Arial" w:eastAsia="Arial" w:hAnsi="Arial"/>
          <w:sz w:val="20"/>
          <w:szCs w:val="20"/>
          <w:color w:val="292929"/>
        </w:rPr>
      </w:pPr>
    </w:p>
    <w:p>
      <w:pPr>
        <w:ind w:left="980" w:hanging="490"/>
        <w:spacing w:after="0"/>
        <w:tabs>
          <w:tab w:leader="none" w:pos="980" w:val="left"/>
        </w:tabs>
        <w:numPr>
          <w:ilvl w:val="0"/>
          <w:numId w:val="19"/>
        </w:numPr>
        <w:rPr>
          <w:rFonts w:ascii="Arial" w:cs="Arial" w:eastAsia="Arial" w:hAnsi="Arial"/>
          <w:sz w:val="20"/>
          <w:szCs w:val="20"/>
          <w:color w:val="292929"/>
        </w:rPr>
      </w:pPr>
      <w:r>
        <w:rPr>
          <w:rFonts w:ascii="Times New Roman" w:cs="Times New Roman" w:eastAsia="Times New Roman" w:hAnsi="Times New Roman"/>
          <w:sz w:val="20"/>
          <w:szCs w:val="20"/>
          <w:color w:val="292929"/>
        </w:rPr>
        <w:t>reduced disclosure about our executive compensation arrangements;</w:t>
      </w:r>
    </w:p>
    <w:p>
      <w:pPr>
        <w:spacing w:after="0" w:line="133" w:lineRule="exact"/>
        <w:rPr>
          <w:rFonts w:ascii="Arial" w:cs="Arial" w:eastAsia="Arial" w:hAnsi="Arial"/>
          <w:sz w:val="20"/>
          <w:szCs w:val="20"/>
          <w:color w:val="292929"/>
        </w:rPr>
      </w:pPr>
    </w:p>
    <w:p>
      <w:pPr>
        <w:ind w:left="980" w:right="980" w:hanging="490"/>
        <w:spacing w:after="0" w:line="276" w:lineRule="auto"/>
        <w:tabs>
          <w:tab w:leader="none" w:pos="980" w:val="left"/>
        </w:tabs>
        <w:numPr>
          <w:ilvl w:val="0"/>
          <w:numId w:val="19"/>
        </w:numPr>
        <w:rPr>
          <w:rFonts w:ascii="Arial" w:cs="Arial" w:eastAsia="Arial" w:hAnsi="Arial"/>
          <w:sz w:val="20"/>
          <w:szCs w:val="20"/>
          <w:color w:val="292929"/>
        </w:rPr>
      </w:pPr>
      <w:r>
        <w:rPr>
          <w:rFonts w:ascii="Times New Roman" w:cs="Times New Roman" w:eastAsia="Times New Roman" w:hAnsi="Times New Roman"/>
          <w:sz w:val="20"/>
          <w:szCs w:val="20"/>
          <w:color w:val="292929"/>
        </w:rPr>
        <w:t>exemption from the requirements to hold non-binding stockholder advisory votes on executive compensation or golden parachute arrangements;</w:t>
      </w:r>
    </w:p>
    <w:p>
      <w:pPr>
        <w:spacing w:after="0" w:line="64" w:lineRule="exact"/>
        <w:rPr>
          <w:rFonts w:ascii="Arial" w:cs="Arial" w:eastAsia="Arial" w:hAnsi="Arial"/>
          <w:sz w:val="20"/>
          <w:szCs w:val="20"/>
          <w:color w:val="292929"/>
        </w:rPr>
      </w:pPr>
    </w:p>
    <w:p>
      <w:pPr>
        <w:ind w:left="980" w:hanging="490"/>
        <w:spacing w:after="0"/>
        <w:tabs>
          <w:tab w:leader="none" w:pos="980" w:val="left"/>
        </w:tabs>
        <w:numPr>
          <w:ilvl w:val="0"/>
          <w:numId w:val="19"/>
        </w:numPr>
        <w:rPr>
          <w:rFonts w:ascii="Arial" w:cs="Arial" w:eastAsia="Arial" w:hAnsi="Arial"/>
          <w:sz w:val="20"/>
          <w:szCs w:val="20"/>
          <w:color w:val="292929"/>
        </w:rPr>
      </w:pPr>
      <w:r>
        <w:rPr>
          <w:rFonts w:ascii="Times New Roman" w:cs="Times New Roman" w:eastAsia="Times New Roman" w:hAnsi="Times New Roman"/>
          <w:sz w:val="20"/>
          <w:szCs w:val="20"/>
          <w:color w:val="292929"/>
        </w:rPr>
        <w:t>extended transition periods for complying with new or revised accounting standards;</w:t>
      </w:r>
    </w:p>
    <w:p>
      <w:pPr>
        <w:spacing w:after="0" w:line="133" w:lineRule="exact"/>
        <w:rPr>
          <w:rFonts w:ascii="Arial" w:cs="Arial" w:eastAsia="Arial" w:hAnsi="Arial"/>
          <w:sz w:val="20"/>
          <w:szCs w:val="20"/>
          <w:color w:val="292929"/>
        </w:rPr>
      </w:pPr>
    </w:p>
    <w:p>
      <w:pPr>
        <w:ind w:left="980" w:right="740" w:hanging="490"/>
        <w:spacing w:after="0" w:line="276" w:lineRule="auto"/>
        <w:tabs>
          <w:tab w:leader="none" w:pos="980" w:val="left"/>
        </w:tabs>
        <w:numPr>
          <w:ilvl w:val="0"/>
          <w:numId w:val="19"/>
        </w:numPr>
        <w:rPr>
          <w:rFonts w:ascii="Arial" w:cs="Arial" w:eastAsia="Arial" w:hAnsi="Arial"/>
          <w:sz w:val="20"/>
          <w:szCs w:val="20"/>
          <w:color w:val="292929"/>
        </w:rPr>
      </w:pPr>
      <w:r>
        <w:rPr>
          <w:rFonts w:ascii="Times New Roman" w:cs="Times New Roman" w:eastAsia="Times New Roman" w:hAnsi="Times New Roman"/>
          <w:sz w:val="20"/>
          <w:szCs w:val="20"/>
          <w:color w:val="292929"/>
        </w:rPr>
        <w:t>exemption from the auditor attestation requirement in the assessment of our internal controls over financial reporting pursuant to Section 404(b) of the Sarbanes-Oxley Act; and</w:t>
      </w:r>
    </w:p>
    <w:p>
      <w:pPr>
        <w:spacing w:after="0" w:line="64" w:lineRule="exact"/>
        <w:rPr>
          <w:rFonts w:ascii="Arial" w:cs="Arial" w:eastAsia="Arial" w:hAnsi="Arial"/>
          <w:sz w:val="20"/>
          <w:szCs w:val="20"/>
          <w:color w:val="292929"/>
        </w:rPr>
      </w:pPr>
    </w:p>
    <w:p>
      <w:pPr>
        <w:ind w:left="980" w:right="220" w:hanging="490"/>
        <w:spacing w:after="0" w:line="252" w:lineRule="auto"/>
        <w:tabs>
          <w:tab w:leader="none" w:pos="980" w:val="left"/>
        </w:tabs>
        <w:numPr>
          <w:ilvl w:val="0"/>
          <w:numId w:val="19"/>
        </w:numPr>
        <w:rPr>
          <w:rFonts w:ascii="Arial" w:cs="Arial" w:eastAsia="Arial" w:hAnsi="Arial"/>
          <w:sz w:val="20"/>
          <w:szCs w:val="20"/>
          <w:color w:val="292929"/>
        </w:rPr>
      </w:pPr>
      <w:r>
        <w:rPr>
          <w:rFonts w:ascii="Times New Roman" w:cs="Times New Roman" w:eastAsia="Times New Roman" w:hAnsi="Times New Roman"/>
          <w:sz w:val="20"/>
          <w:szCs w:val="20"/>
          <w:color w:val="292929"/>
        </w:rPr>
        <w:t>exemption from complying with any requirement that may be adopted by the Public Company Accounting Oversight Board (the “PCAOB”), regarding mandatory audit firm rotation or a supplement to the auditor’s report providing additional information about the audit and the financial statements (i.e., an auditor discussion and analysis).</w:t>
      </w:r>
    </w:p>
    <w:p>
      <w:pPr>
        <w:spacing w:after="0" w:line="193" w:lineRule="exact"/>
        <w:rPr>
          <w:sz w:val="20"/>
          <w:szCs w:val="20"/>
          <w:color w:val="auto"/>
        </w:rPr>
      </w:pPr>
    </w:p>
    <w:p>
      <w:pPr>
        <w:ind w:right="200" w:firstLine="490"/>
        <w:spacing w:after="0" w:line="247" w:lineRule="auto"/>
        <w:rPr>
          <w:sz w:val="20"/>
          <w:szCs w:val="20"/>
          <w:color w:val="auto"/>
        </w:rPr>
      </w:pPr>
      <w:r>
        <w:rPr>
          <w:rFonts w:ascii="Times New Roman" w:cs="Times New Roman" w:eastAsia="Times New Roman" w:hAnsi="Times New Roman"/>
          <w:sz w:val="20"/>
          <w:szCs w:val="20"/>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use the extended transition period for complying with new or revised accounting standards; and as a result of this election, our financial statements may not be comparable to companies that comply with public company effective dates.</w:t>
      </w:r>
    </w:p>
    <w:p>
      <w:pPr>
        <w:spacing w:after="0" w:line="200" w:lineRule="exact"/>
        <w:rPr>
          <w:sz w:val="20"/>
          <w:szCs w:val="20"/>
          <w:color w:val="auto"/>
        </w:rPr>
      </w:pPr>
    </w:p>
    <w:p>
      <w:pPr>
        <w:ind w:right="280" w:firstLine="490"/>
        <w:spacing w:after="0" w:line="244" w:lineRule="auto"/>
        <w:rPr>
          <w:sz w:val="20"/>
          <w:szCs w:val="20"/>
          <w:color w:val="auto"/>
        </w:rPr>
      </w:pPr>
      <w:r>
        <w:rPr>
          <w:rFonts w:ascii="Times New Roman" w:cs="Times New Roman" w:eastAsia="Times New Roman" w:hAnsi="Times New Roman"/>
          <w:sz w:val="20"/>
          <w:szCs w:val="20"/>
          <w:color w:val="auto"/>
        </w:rPr>
        <w:t>We are also a “smaller reporting company,” as defined in the Exchange Act, and we will remain a smaller reporting company until the fiscal year following the determination that our voting and non-voting common stock held by non-affiliates is more than $250 million measured on the last business day of our second fiscal quarter, or our annual revenue is more than $100 million during the most recently completed fiscal year and our voting and non-voting common stock held by non-affiliates is more than $700 million measured on the last business day of our second fiscal quarter. Similar to emerging growth companies, smaller reporting companies are permitted to provide simplified executive compensation disclosure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spacing w:after="0" w:line="206" w:lineRule="exact"/>
        <w:rPr>
          <w:sz w:val="20"/>
          <w:szCs w:val="20"/>
          <w:color w:val="auto"/>
        </w:rPr>
      </w:pPr>
    </w:p>
    <w:p>
      <w:pPr>
        <w:ind w:right="360" w:firstLine="490"/>
        <w:spacing w:after="0" w:line="252" w:lineRule="auto"/>
        <w:rPr>
          <w:sz w:val="20"/>
          <w:szCs w:val="20"/>
          <w:color w:val="auto"/>
        </w:rPr>
      </w:pPr>
      <w:r>
        <w:rPr>
          <w:rFonts w:ascii="Times New Roman" w:cs="Times New Roman" w:eastAsia="Times New Roman" w:hAnsi="Times New Roman"/>
          <w:sz w:val="20"/>
          <w:szCs w:val="20"/>
          <w:color w:val="auto"/>
        </w:rPr>
        <w:t>We may choose to take advantage of some, but not all, of the available exemptions for emerging growth companies and smaller reporting companies. We cannot predict whether investors will find our common stock less attractive if we rely on these exemptions. If some investors find our common stock less attractive as a result, there may be a less active trading market for our common stock and our shares price may be more volatile.</w:t>
      </w:r>
    </w:p>
    <w:p>
      <w:pPr>
        <w:spacing w:after="0" w:line="307"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b w:val="1"/>
          <w:bCs w:val="1"/>
          <w:i w:val="1"/>
          <w:iCs w:val="1"/>
          <w:color w:val="292929"/>
        </w:rPr>
        <w:t>If we fail to maintain or implement effective internal controls, we may not be able to report financial results accurately or on a timely basis, or to detect fraud, which could have a material adverse effect on our business and the per share price of our Class A common stock.</w:t>
      </w:r>
    </w:p>
    <w:p>
      <w:pPr>
        <w:spacing w:after="0" w:line="74" w:lineRule="exact"/>
        <w:rPr>
          <w:sz w:val="20"/>
          <w:szCs w:val="20"/>
          <w:color w:val="auto"/>
        </w:rPr>
      </w:pPr>
    </w:p>
    <w:p>
      <w:pPr>
        <w:ind w:right="440" w:firstLine="490"/>
        <w:spacing w:after="0" w:line="246" w:lineRule="auto"/>
        <w:rPr>
          <w:sz w:val="20"/>
          <w:szCs w:val="20"/>
          <w:color w:val="auto"/>
        </w:rPr>
      </w:pPr>
      <w:r>
        <w:rPr>
          <w:rFonts w:ascii="Times New Roman" w:cs="Times New Roman" w:eastAsia="Times New Roman" w:hAnsi="Times New Roman"/>
          <w:sz w:val="20"/>
          <w:szCs w:val="20"/>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We are also continuing to improve our internal control over financial reporting. We have expended, and anticipate that we will continue to expend, significant resources in order to maintain and improve the effectiveness of our disclosure controls and procedures and internal control over financial reporting.</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540"/>
          </w:cols>
          <w:pgMar w:left="1260" w:top="1240" w:right="1440" w:bottom="355" w:gutter="0" w:footer="0" w:header="0"/>
          <w:type w:val="continuous"/>
        </w:sectPr>
      </w:pPr>
    </w:p>
    <w:bookmarkStart w:id="37" w:name="page38"/>
    <w:bookmarkEnd w:id="37"/>
    <w:p>
      <w:pPr>
        <w:ind w:right="180" w:firstLine="490"/>
        <w:spacing w:after="0" w:line="243" w:lineRule="auto"/>
        <w:rPr>
          <w:sz w:val="20"/>
          <w:szCs w:val="20"/>
          <w:color w:val="auto"/>
        </w:rPr>
      </w:pPr>
      <w:r>
        <w:rPr>
          <w:rFonts w:ascii="Times New Roman" w:cs="Times New Roman" w:eastAsia="Times New Roman" w:hAnsi="Times New Roman"/>
          <w:sz w:val="20"/>
          <w:szCs w:val="20"/>
          <w:color w:val="auto"/>
        </w:rPr>
        <w:t>Our current controls and any new controls that we develop may become inadequate because of changes in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 over financial reporting could also adversely affect the results of management reports and independent registered public accounting firm audits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In addition, if we are unable to continue to meet these requirements, we may not be able to remain listed on the Exchange.</w:t>
      </w:r>
    </w:p>
    <w:p>
      <w:pPr>
        <w:spacing w:after="0" w:line="206" w:lineRule="exact"/>
        <w:rPr>
          <w:sz w:val="20"/>
          <w:szCs w:val="20"/>
          <w:color w:val="auto"/>
        </w:rPr>
      </w:pPr>
    </w:p>
    <w:p>
      <w:pPr>
        <w:ind w:right="220" w:firstLine="490"/>
        <w:spacing w:after="0" w:line="244" w:lineRule="auto"/>
        <w:rPr>
          <w:sz w:val="20"/>
          <w:szCs w:val="20"/>
          <w:color w:val="auto"/>
        </w:rPr>
      </w:pPr>
      <w:r>
        <w:rPr>
          <w:rFonts w:ascii="Times New Roman" w:cs="Times New Roman" w:eastAsia="Times New Roman" w:hAnsi="Times New Roman"/>
          <w:sz w:val="20"/>
          <w:szCs w:val="20"/>
          <w:color w:val="auto"/>
        </w:rPr>
        <w:t>We are not currently required to comply with the SEC rules that implement Section 404 of the Sarbanes-Oxley Act, and are therefore not required to make a formal assessment of the effectiveness of our internal control over financial reporting for that purpose. We were required to provide an annual management report on the effectiveness of our internal control over financial reporting beginning with our second annual report on Form 10-K (December 31, 2024). Our independent registered public accounting firm is not required to audit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w:t>
      </w:r>
    </w:p>
    <w:p>
      <w:pPr>
        <w:spacing w:after="0" w:line="206"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auto"/>
        </w:rPr>
        <w:t>Any failure to maintain effective disclosure controls and internal control over financial reporting could have a material and adverse effect on our business and operating results, and cause a decline in the market price of our Class A common stock.</w:t>
      </w:r>
    </w:p>
    <w:p>
      <w:pPr>
        <w:spacing w:after="0" w:line="299" w:lineRule="exact"/>
        <w:rPr>
          <w:sz w:val="20"/>
          <w:szCs w:val="20"/>
          <w:color w:val="auto"/>
        </w:rPr>
      </w:pPr>
    </w:p>
    <w:p>
      <w:pPr>
        <w:ind w:right="640"/>
        <w:spacing w:after="0" w:line="265"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publish inaccurate or unfavorable research reports about our business, our share price and trading volume could decline.</w:t>
      </w:r>
    </w:p>
    <w:p>
      <w:pPr>
        <w:spacing w:after="0" w:line="49" w:lineRule="exact"/>
        <w:rPr>
          <w:sz w:val="20"/>
          <w:szCs w:val="20"/>
          <w:color w:val="auto"/>
        </w:rPr>
      </w:pPr>
    </w:p>
    <w:p>
      <w:pPr>
        <w:ind w:right="240" w:firstLine="490"/>
        <w:spacing w:after="0" w:line="236" w:lineRule="auto"/>
        <w:rPr>
          <w:sz w:val="20"/>
          <w:szCs w:val="20"/>
          <w:color w:val="auto"/>
        </w:rPr>
      </w:pPr>
      <w:r>
        <w:rPr>
          <w:rFonts w:ascii="Times New Roman" w:cs="Times New Roman" w:eastAsia="Times New Roman" w:hAnsi="Times New Roman"/>
          <w:sz w:val="20"/>
          <w:szCs w:val="20"/>
          <w:color w:val="auto"/>
        </w:rPr>
        <w:t>The trading market for our Class A common stock will partially depend on the research and reports that securities or industry analysts publish about us or our business. We do not have any control over these analysts. If one or more of the analysts who cover us should downgrade our shares or change their opinion of our business prospects, our share price would likely decline. If one or more of these analysts ceases coverage of our company or fails to regularly publish reports on us, we could lose visibility in the financial markets, which could cause our share price or trading volume to decline.</w:t>
      </w:r>
    </w:p>
    <w:p>
      <w:pPr>
        <w:spacing w:after="0" w:line="314"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The estimates of market opportunity and forecasts of market growth included in this Annual Report on Form 10-K may prove to be inaccurate, and even if the market in which we compete achieves the forecasted growth, our business could fail to grow at similar rates, if at all</w:t>
      </w:r>
      <w:r>
        <w:rPr>
          <w:rFonts w:ascii="Times New Roman" w:cs="Times New Roman" w:eastAsia="Times New Roman" w:hAnsi="Times New Roman"/>
          <w:sz w:val="20"/>
          <w:szCs w:val="20"/>
          <w:color w:val="auto"/>
        </w:rPr>
        <w:t>.</w:t>
      </w:r>
    </w:p>
    <w:p>
      <w:pPr>
        <w:spacing w:after="0" w:line="68" w:lineRule="exact"/>
        <w:rPr>
          <w:sz w:val="20"/>
          <w:szCs w:val="20"/>
          <w:color w:val="auto"/>
        </w:rPr>
      </w:pPr>
    </w:p>
    <w:p>
      <w:pPr>
        <w:ind w:right="240" w:firstLine="490"/>
        <w:spacing w:after="0" w:line="235" w:lineRule="auto"/>
        <w:rPr>
          <w:sz w:val="20"/>
          <w:szCs w:val="20"/>
          <w:color w:val="auto"/>
        </w:rPr>
      </w:pPr>
      <w:r>
        <w:rPr>
          <w:rFonts w:ascii="Times New Roman" w:cs="Times New Roman" w:eastAsia="Times New Roman" w:hAnsi="Times New Roman"/>
          <w:sz w:val="20"/>
          <w:szCs w:val="20"/>
          <w:color w:val="auto"/>
        </w:rPr>
        <w:t>Market opportunity estimates and growth forecasts are subject to significant uncertainty and are based on assumptions and estimates that may not prove to be accurate. For example, several of the reports rely on or employ projections of consumer adoption and incorporate data from secondary sources such as company websites as well as industry, trade and government publications. While our estimates of market size and expected growth of our market were made in good faith and are based on assumptions and estimates we believe to be reasonable, these estimates may not prove to be accurate. Even if the market in which we compete meets the size estimates and growth forecast in this Annual Report, our business could fail to grow at the rate we anticipate, if at all.</w:t>
      </w:r>
    </w:p>
    <w:p>
      <w:pPr>
        <w:spacing w:after="0" w:line="313" w:lineRule="exact"/>
        <w:rPr>
          <w:sz w:val="20"/>
          <w:szCs w:val="20"/>
          <w:color w:val="auto"/>
        </w:rPr>
      </w:pPr>
    </w:p>
    <w:p>
      <w:pPr>
        <w:ind w:right="520"/>
        <w:spacing w:after="0" w:line="265" w:lineRule="auto"/>
        <w:rPr>
          <w:sz w:val="20"/>
          <w:szCs w:val="20"/>
          <w:color w:val="auto"/>
        </w:rPr>
      </w:pPr>
      <w:r>
        <w:rPr>
          <w:rFonts w:ascii="Times New Roman" w:cs="Times New Roman" w:eastAsia="Times New Roman" w:hAnsi="Times New Roman"/>
          <w:sz w:val="20"/>
          <w:szCs w:val="20"/>
          <w:b w:val="1"/>
          <w:bCs w:val="1"/>
          <w:i w:val="1"/>
          <w:iCs w:val="1"/>
          <w:color w:val="auto"/>
        </w:rPr>
        <w:t>The structure and role of our senior management team may result in the departure of members of the team or otherwise adversely affect our operations.</w:t>
      </w:r>
    </w:p>
    <w:p>
      <w:pPr>
        <w:spacing w:after="0" w:line="49" w:lineRule="exact"/>
        <w:rPr>
          <w:sz w:val="20"/>
          <w:szCs w:val="20"/>
          <w:color w:val="auto"/>
        </w:rPr>
      </w:pPr>
    </w:p>
    <w:p>
      <w:pPr>
        <w:ind w:right="240" w:firstLine="490"/>
        <w:spacing w:after="0" w:line="253" w:lineRule="auto"/>
        <w:rPr>
          <w:sz w:val="20"/>
          <w:szCs w:val="20"/>
          <w:color w:val="auto"/>
        </w:rPr>
      </w:pPr>
      <w:r>
        <w:rPr>
          <w:rFonts w:ascii="Times New Roman" w:cs="Times New Roman" w:eastAsia="Times New Roman" w:hAnsi="Times New Roman"/>
          <w:sz w:val="19"/>
          <w:szCs w:val="19"/>
          <w:color w:val="auto"/>
        </w:rPr>
        <w:t>Our success is substantially dependent on the continued service of certain members of our senior management team. These executives have been responsible for determining the strategic direction of our business and for executing our growth strategy. They are integral to our brand, culture and the reputation we enjoy with suppliers, customers and consumers. We also rely on our leadership team for operating our business, identifying, recruiting and training key personnel, identifying expansion opportunities, arranging necessary financing, and for general and</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540"/>
          </w:cols>
          <w:pgMar w:left="1260" w:top="1240" w:right="1440" w:bottom="355" w:gutter="0" w:footer="0" w:header="0"/>
          <w:type w:val="continuous"/>
        </w:sectPr>
      </w:pPr>
    </w:p>
    <w:bookmarkStart w:id="38" w:name="page39"/>
    <w:bookmarkEnd w:id="38"/>
    <w:p>
      <w:pPr>
        <w:ind w:right="220"/>
        <w:spacing w:after="0" w:line="234" w:lineRule="auto"/>
        <w:rPr>
          <w:sz w:val="20"/>
          <w:szCs w:val="20"/>
          <w:color w:val="auto"/>
        </w:rPr>
      </w:pPr>
      <w:r>
        <w:rPr>
          <w:rFonts w:ascii="Times New Roman" w:cs="Times New Roman" w:eastAsia="Times New Roman" w:hAnsi="Times New Roman"/>
          <w:sz w:val="20"/>
          <w:szCs w:val="20"/>
          <w:color w:val="auto"/>
        </w:rPr>
        <w:t>administrative functions. The loss of the services of any of these executives or other key employees could have a material adverse effect on our business and prospects, as we may not be able to timely find suitable individuals to replace, if at all. In addition, any such departure could be viewed in a negative light by investors and analysts, which may cause the price of our common stock to decline. We carry key-person life insurance for our senior executives. To continue to execute our growth strategy, we also must identify, hire and retain highly skilled personnel. We might not be successful in continuing to attract and retain qualified personnel. Failure to identify, hire and retain necessary key personnel could have a material adverse effect on our business, financial condition or results of operations.</w:t>
      </w:r>
    </w:p>
    <w:p>
      <w:pPr>
        <w:spacing w:after="0" w:line="314" w:lineRule="exact"/>
        <w:rPr>
          <w:sz w:val="20"/>
          <w:szCs w:val="20"/>
          <w:color w:val="auto"/>
        </w:rPr>
      </w:pPr>
    </w:p>
    <w:p>
      <w:pPr>
        <w:jc w:val="both"/>
        <w:ind w:right="44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A breach of security of confidential employee information or confidential consumer information related to our electronic processing of credit and debit card transactions, could substantially affect our reputation, business, financial condition, or results of operations.</w:t>
      </w:r>
    </w:p>
    <w:p>
      <w:pPr>
        <w:spacing w:after="0" w:line="68" w:lineRule="exact"/>
        <w:rPr>
          <w:sz w:val="20"/>
          <w:szCs w:val="20"/>
          <w:color w:val="auto"/>
        </w:rPr>
      </w:pPr>
    </w:p>
    <w:p>
      <w:pPr>
        <w:ind w:right="240" w:firstLine="490"/>
        <w:spacing w:after="0" w:line="232" w:lineRule="auto"/>
        <w:rPr>
          <w:sz w:val="20"/>
          <w:szCs w:val="20"/>
          <w:color w:val="auto"/>
        </w:rPr>
      </w:pPr>
      <w:r>
        <w:rPr>
          <w:rFonts w:ascii="Times New Roman" w:cs="Times New Roman" w:eastAsia="Times New Roman" w:hAnsi="Times New Roman"/>
          <w:sz w:val="20"/>
          <w:szCs w:val="20"/>
          <w:color w:val="auto"/>
        </w:rPr>
        <w:t>The majority of our restaurant sales are by credit or debit cards. Other restaurants and retailers have experienced security breaches in which credit and debit card information has been stolen. In the future our customers may make claims against us for purportedly fraudulent transactions arising out of the actual or alleged theft of credit or debit card information. We may ultimately be held liable for the unauthorized use of a cardholder’s card number in an illegal activity and be required by card issuers to pay charge-back fees. In addition, most states have enacted legislation requiring consumer notification of security breaches involving personal information, including credit and debit card information. Any such claim or proceeding could cause us to incur significant unplanned expenses, which could have an adverse impact on our business, financial condition or results of operations. Further, negative publicity resulting from these allegations may have a material adverse effect on us and could substantially affect our reputation and business, financial condition or results of operations.</w:t>
      </w:r>
    </w:p>
    <w:p>
      <w:pPr>
        <w:spacing w:after="0" w:line="211" w:lineRule="exact"/>
        <w:rPr>
          <w:sz w:val="20"/>
          <w:szCs w:val="20"/>
          <w:color w:val="auto"/>
        </w:rPr>
      </w:pPr>
    </w:p>
    <w:p>
      <w:pPr>
        <w:ind w:right="200" w:firstLine="490"/>
        <w:spacing w:after="0" w:line="243" w:lineRule="auto"/>
        <w:rPr>
          <w:sz w:val="20"/>
          <w:szCs w:val="20"/>
          <w:color w:val="auto"/>
        </w:rPr>
      </w:pPr>
      <w:r>
        <w:rPr>
          <w:rFonts w:ascii="Times New Roman" w:cs="Times New Roman" w:eastAsia="Times New Roman" w:hAnsi="Times New Roman"/>
          <w:sz w:val="20"/>
          <w:szCs w:val="20"/>
          <w:color w:val="auto"/>
        </w:rPr>
        <w:t>In addition, our business requires the collection, transmission and retention of large volumes of guest and employee data, including personally identifiable information, in various information technology systems that we maintain and in those maintained by third parties with whom we contract to provide services. There is increased regulation of the collection and use of such information at the international, federal, and state levels. Additionally, we have been subject to security breaches and cyber incidents in the past and our preventative measures and incident response efforts may not be entirely effective at preventing future breaches. As the digital age continues to evolve and reliance upon new technologies becomes more prevalent, it is imperative we secure the privacy and sensitive information we collect. The theft, destruction, loss, misappropriation, or release of sensitive and/or confidential information, or interference with our information technology systems or the technology systems of third parties on which we rely, could result in business disruption, negative publicity, brand damage, violation of privacy laws, loss of customers, potential liability, remediation costs and competitive disadvantage.</w:t>
      </w:r>
    </w:p>
    <w:p>
      <w:pPr>
        <w:spacing w:after="0" w:line="3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rely on restaurant and retail-specific information technology systems and any inadequacy, failure, or interruption of those systems, including those newly implemented, may harm our ability to effectively operate our business.</w:t>
      </w:r>
    </w:p>
    <w:p>
      <w:pPr>
        <w:spacing w:after="0" w:line="68" w:lineRule="exact"/>
        <w:rPr>
          <w:sz w:val="20"/>
          <w:szCs w:val="20"/>
          <w:color w:val="auto"/>
        </w:rPr>
      </w:pPr>
    </w:p>
    <w:p>
      <w:pPr>
        <w:ind w:right="200" w:firstLine="490"/>
        <w:spacing w:after="0" w:line="243" w:lineRule="auto"/>
        <w:rPr>
          <w:sz w:val="20"/>
          <w:szCs w:val="20"/>
          <w:color w:val="auto"/>
        </w:rPr>
      </w:pPr>
      <w:r>
        <w:rPr>
          <w:rFonts w:ascii="Times New Roman" w:cs="Times New Roman" w:eastAsia="Times New Roman" w:hAnsi="Times New Roman"/>
          <w:sz w:val="20"/>
          <w:szCs w:val="20"/>
          <w:color w:val="auto"/>
        </w:rPr>
        <w:t>We are dependent on various information technology systems, including, but not limited to, point-of-sale processing in our restaurants for management of our supply chain, payment of obligations, collection of cash, credit and debit card transactions and other processes and procedures. No operational applications are physically hosted on our premises, although we do manage internal file servers. Most of our applications are operated in the cloud, either as Software as a Service (SaaS) platforms or hosted services. Key third-party, cloud-based systems include Microsoft OneDrive for document storing, sharing and collaboration and other platforms to manage activities including, but not limited to, payroll and personnel data. We also use Revel for our point-of-sale (POS) system and QuickBooks. A failure of our information technology systems to perform as we anticipate could disrupt our business and result in transaction errors, processing inefficiencies and loss of sales, causing our business to suffer. In addition, our information technology systems may be vulnerable to damage or interruption from circumstances beyond our control, including fire, natural disasters, systems failures and viruses and security breaches. Any such damage or interruption could have a material adverse effect on our business.</w:t>
      </w:r>
    </w:p>
    <w:p>
      <w:pPr>
        <w:spacing w:after="0" w:line="206" w:lineRule="exact"/>
        <w:rPr>
          <w:sz w:val="20"/>
          <w:szCs w:val="20"/>
          <w:color w:val="auto"/>
        </w:rPr>
      </w:pPr>
    </w:p>
    <w:p>
      <w:pPr>
        <w:ind w:right="280" w:firstLine="490"/>
        <w:spacing w:after="0" w:line="252" w:lineRule="auto"/>
        <w:rPr>
          <w:sz w:val="20"/>
          <w:szCs w:val="20"/>
          <w:color w:val="auto"/>
        </w:rPr>
      </w:pPr>
      <w:r>
        <w:rPr>
          <w:rFonts w:ascii="Times New Roman" w:cs="Times New Roman" w:eastAsia="Times New Roman" w:hAnsi="Times New Roman"/>
          <w:sz w:val="20"/>
          <w:szCs w:val="20"/>
          <w:color w:val="auto"/>
        </w:rPr>
        <w:t>During 2025, we implemented new information technology systems. Implementations of new systems are often complex and time-consuming, and the use of any new systems involve risks inherent to conversion to a new system. These risks include loss of information, the compromise of data integrity and the potential disruption of our normal business operations. The implementation process may be disruptive if the new information technology</w:t>
      </w:r>
    </w:p>
    <w:p>
      <w:pPr>
        <w:sectPr>
          <w:pgSz w:w="12240" w:h="15840" w:orient="portrait"/>
          <w:cols w:equalWidth="0" w:num="1">
            <w:col w:w="9540"/>
          </w:cols>
          <w:pgMar w:left="1260" w:top="1231" w:right="1440" w:bottom="355"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540"/>
          </w:cols>
          <w:pgMar w:left="1260" w:top="1231" w:right="1440" w:bottom="355" w:gutter="0" w:footer="0" w:header="0"/>
          <w:type w:val="continuous"/>
        </w:sectPr>
      </w:pPr>
    </w:p>
    <w:bookmarkStart w:id="39" w:name="page40"/>
    <w:bookmarkEnd w:id="39"/>
    <w:p>
      <w:pPr>
        <w:ind w:right="180"/>
        <w:spacing w:after="0" w:line="258" w:lineRule="auto"/>
        <w:rPr>
          <w:sz w:val="20"/>
          <w:szCs w:val="20"/>
          <w:color w:val="auto"/>
        </w:rPr>
      </w:pPr>
      <w:r>
        <w:rPr>
          <w:rFonts w:ascii="Times New Roman" w:cs="Times New Roman" w:eastAsia="Times New Roman" w:hAnsi="Times New Roman"/>
          <w:sz w:val="20"/>
          <w:szCs w:val="20"/>
          <w:color w:val="auto"/>
        </w:rPr>
        <w:t>systems do not work as planned, or if we experience issues relating to the new technology. Any disruption to our normal business operations and/or our failure to manage such disruptions could have a material adverse effect on our business.</w:t>
      </w:r>
    </w:p>
    <w:p>
      <w:pPr>
        <w:spacing w:after="0" w:line="308" w:lineRule="exact"/>
        <w:rPr>
          <w:sz w:val="20"/>
          <w:szCs w:val="20"/>
          <w:color w:val="auto"/>
        </w:rPr>
      </w:pPr>
    </w:p>
    <w:p>
      <w:pPr>
        <w:ind w:right="11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actual or perceived failure to comply with privacy, data protection, and information security laws, regulations and obligations could harm our business.</w:t>
      </w:r>
    </w:p>
    <w:p>
      <w:pPr>
        <w:spacing w:after="0" w:line="49" w:lineRule="exact"/>
        <w:rPr>
          <w:sz w:val="20"/>
          <w:szCs w:val="20"/>
          <w:color w:val="auto"/>
        </w:rPr>
      </w:pPr>
    </w:p>
    <w:p>
      <w:pPr>
        <w:ind w:right="180" w:firstLine="490"/>
        <w:spacing w:after="0" w:line="244" w:lineRule="auto"/>
        <w:rPr>
          <w:sz w:val="20"/>
          <w:szCs w:val="20"/>
          <w:color w:val="auto"/>
        </w:rPr>
      </w:pPr>
      <w:r>
        <w:rPr>
          <w:rFonts w:ascii="Times New Roman" w:cs="Times New Roman" w:eastAsia="Times New Roman" w:hAnsi="Times New Roman"/>
          <w:sz w:val="20"/>
          <w:szCs w:val="20"/>
          <w:color w:val="auto"/>
        </w:rPr>
        <w:t>We are subject to numerous federal, state, local and international laws and regulations regarding privacy, data protection, information security and the storing, sharing, use, processing, transfer, disclosure and protection of personal information and other content and data, which we refer to collectively as privacy laws, the scope of which is changing, subject to differing interpretations and may be inconsistent among countries, or conflict with other laws, regulations or other obligations. We are also subject to the terms of our privacy policies and obligations to our customers and other third parties related to privacy, data protection and information security. We strive to comply with applicable privacy laws; however, the regulatory framework for privacy and data protection worldwide is varied, and it is possible that these or other actual obligations may be interpreted and applied in a manner that is inconsistent from one jurisdiction to another.</w:t>
      </w:r>
    </w:p>
    <w:p>
      <w:pPr>
        <w:spacing w:after="0" w:line="206" w:lineRule="exact"/>
        <w:rPr>
          <w:sz w:val="20"/>
          <w:szCs w:val="20"/>
          <w:color w:val="auto"/>
        </w:rPr>
      </w:pPr>
    </w:p>
    <w:p>
      <w:pPr>
        <w:ind w:right="180" w:firstLine="490"/>
        <w:spacing w:after="0" w:line="242" w:lineRule="auto"/>
        <w:rPr>
          <w:sz w:val="20"/>
          <w:szCs w:val="20"/>
          <w:color w:val="auto"/>
        </w:rPr>
      </w:pPr>
      <w:r>
        <w:rPr>
          <w:rFonts w:ascii="Times New Roman" w:cs="Times New Roman" w:eastAsia="Times New Roman" w:hAnsi="Times New Roman"/>
          <w:sz w:val="20"/>
          <w:szCs w:val="20"/>
          <w:color w:val="auto"/>
        </w:rPr>
        <w:t>California also enacted legislation affording consumers expanded privacy protections: the California Consumer Privacy Act of 2018, or CCPA, went into effect as of January 1, 2020 and was subject to enforcement starting July 1, 2020. Additionally, the California Attorney General issued CCPA regulations that add additional requirements on businesses. The potential effects of this legislation and the related CCPA regulations may require us to incur substantial costs and expenses in an effort to comply. For example, the CCPA gives California residents (including employees) expanded rights to transparency, access and require deletion of their personal information, opt out of certain personal information sharing and receive detailed information about how their personal information is collected and used. The CCPA also provides for civil penalties for violations, as well as a private right of action for data breaches that may increase data breach litigation. Additionally, the California Privacy Rights Act, or CPRA, was approved by California voters in the November 3, 2020 election and went into effect on January 1, 2023, with enforcement beginning on March 29, 2023. The CPRA significantly modified the CCPA, potentially resulting in further uncertainty and requiring us to incur additional costs and expenses in efforts to comply. The enactment of the CCPA and CPRA is prompting similar legislative developments in other states in the United States, which could create the potential for a patchwork of overlapping but different state laws, and is inspiring federal legislation.</w:t>
      </w:r>
    </w:p>
    <w:p>
      <w:pPr>
        <w:spacing w:after="0" w:line="212" w:lineRule="exact"/>
        <w:rPr>
          <w:sz w:val="20"/>
          <w:szCs w:val="20"/>
          <w:color w:val="auto"/>
        </w:rPr>
      </w:pPr>
    </w:p>
    <w:p>
      <w:pPr>
        <w:ind w:right="300" w:firstLine="490"/>
        <w:spacing w:after="0" w:line="258" w:lineRule="auto"/>
        <w:rPr>
          <w:sz w:val="20"/>
          <w:szCs w:val="20"/>
          <w:color w:val="auto"/>
        </w:rPr>
      </w:pPr>
      <w:r>
        <w:rPr>
          <w:rFonts w:ascii="Times New Roman" w:cs="Times New Roman" w:eastAsia="Times New Roman" w:hAnsi="Times New Roman"/>
          <w:sz w:val="20"/>
          <w:szCs w:val="20"/>
          <w:color w:val="auto"/>
        </w:rPr>
        <w:t>Further, some countries also are considering or have passed legislation requiring local storage and processing of data, or similar requirements, which could increase the cost and complexity of operating our products and services and other aspects of our business.</w:t>
      </w:r>
    </w:p>
    <w:p>
      <w:pPr>
        <w:spacing w:after="0" w:line="188" w:lineRule="exact"/>
        <w:rPr>
          <w:sz w:val="20"/>
          <w:szCs w:val="20"/>
          <w:color w:val="auto"/>
        </w:rPr>
      </w:pPr>
    </w:p>
    <w:p>
      <w:pPr>
        <w:ind w:right="180" w:firstLine="490"/>
        <w:spacing w:after="0" w:line="242" w:lineRule="auto"/>
        <w:rPr>
          <w:sz w:val="20"/>
          <w:szCs w:val="20"/>
          <w:color w:val="auto"/>
        </w:rPr>
      </w:pPr>
      <w:r>
        <w:rPr>
          <w:rFonts w:ascii="Times New Roman" w:cs="Times New Roman" w:eastAsia="Times New Roman" w:hAnsi="Times New Roman"/>
          <w:sz w:val="20"/>
          <w:szCs w:val="20"/>
          <w:color w:val="auto"/>
        </w:rPr>
        <w:t>With laws and regulations such as the CCPA/CPRA imposing new and relatively burdensome obligations, and with substantial uncertainty over the interpretation and application of these and other laws and regulations, there is a risk that the requirements of these or other laws and regulations, or of contractual or other obligations relating to privacy, data protection or information security, are interpreted or applied in a manner that is, or is alleged to be, inconsistent with our management and processing practices, our policies or procedures, or the features of our products and services. We may face challenges in addressing their requirements and making any necessary changes to our policies and practices, and we may find it necessary or appropriate to assume additional burdens with respect to data handling, to restrict our data processing or otherwise to modify our data handling practices and to incur significant costs and expenses in these efforts. Any failure or perceived failure by us to comply with our privacy policies, our privacy, data protection or information security-related obligations to customers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customers to lose trust in us, which could have an adverse effect on our reputation and business.</w:t>
      </w:r>
    </w:p>
    <w:p>
      <w:pPr>
        <w:spacing w:after="0" w:line="213" w:lineRule="exact"/>
        <w:rPr>
          <w:sz w:val="20"/>
          <w:szCs w:val="20"/>
          <w:color w:val="auto"/>
        </w:rPr>
      </w:pPr>
    </w:p>
    <w:p>
      <w:pPr>
        <w:ind w:right="380" w:firstLine="490"/>
        <w:spacing w:after="0" w:line="258" w:lineRule="auto"/>
        <w:rPr>
          <w:sz w:val="20"/>
          <w:szCs w:val="20"/>
          <w:color w:val="auto"/>
        </w:rPr>
      </w:pPr>
      <w:r>
        <w:rPr>
          <w:rFonts w:ascii="Times New Roman" w:cs="Times New Roman" w:eastAsia="Times New Roman" w:hAnsi="Times New Roman"/>
          <w:sz w:val="20"/>
          <w:szCs w:val="20"/>
          <w:color w:val="auto"/>
        </w:rPr>
        <w:t>Furthermore, the costs of compliance with, and other burdens imposed by, the laws, regulations and policies that are applicable to the businesses of our customers may limit the adoption and use of, and reduce the overall demand for, our products and services.</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540"/>
          </w:cols>
          <w:pgMar w:left="1260" w:top="1240" w:right="1440" w:bottom="355" w:gutter="0" w:footer="0" w:header="0"/>
          <w:type w:val="continuous"/>
        </w:sectPr>
      </w:pPr>
    </w:p>
    <w:bookmarkStart w:id="40" w:name="page41"/>
    <w:bookmarkEnd w:id="40"/>
    <w:p>
      <w:pPr>
        <w:ind w:right="200" w:firstLine="490"/>
        <w:spacing w:after="0" w:line="247" w:lineRule="auto"/>
        <w:rPr>
          <w:sz w:val="20"/>
          <w:szCs w:val="20"/>
          <w:color w:val="auto"/>
        </w:rPr>
      </w:pPr>
      <w:r>
        <w:rPr>
          <w:rFonts w:ascii="Times New Roman" w:cs="Times New Roman" w:eastAsia="Times New Roman" w:hAnsi="Times New Roman"/>
          <w:sz w:val="20"/>
          <w:szCs w:val="20"/>
          <w:color w:val="auto"/>
        </w:rPr>
        <w:t>Additionally, if third parties we work with violate applicable laws or regulations or out contracts and policies, such violations may also put our customers’, supplies’ or other third parties’ content and personal information at risk and could in turn have an adverse effect on our business. Any significant change to applicable privacy laws or relevant industry practices could increase our costs and require us to modify our platform, applications and features, possibly in a material manner, which we may be unable to complete and may limit our ability to store and process customer data or develop new applications and features.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24" w:lineRule="exact"/>
        <w:rPr>
          <w:sz w:val="20"/>
          <w:szCs w:val="20"/>
          <w:color w:val="auto"/>
        </w:rPr>
      </w:pPr>
    </w:p>
    <w:p>
      <w:pPr>
        <w:ind w:right="280" w:firstLine="490"/>
        <w:spacing w:after="0" w:line="249" w:lineRule="auto"/>
        <w:rPr>
          <w:sz w:val="20"/>
          <w:szCs w:val="20"/>
          <w:color w:val="auto"/>
        </w:rPr>
      </w:pPr>
      <w:r>
        <w:rPr>
          <w:rFonts w:ascii="Times New Roman" w:cs="Times New Roman" w:eastAsia="Times New Roman" w:hAnsi="Times New Roman"/>
          <w:sz w:val="20"/>
          <w:szCs w:val="20"/>
          <w:color w:val="auto"/>
        </w:rPr>
        <w:t>The Company is committed to protecting the confidentiality, integrity, and availability of its information systems and the data they contain from cybersecurity threats. The Company recognizes that cybersecurity is a dynamic and evolving area of risk that requires ongoing assessment, management, and oversight. The Company works with third party companies to assess, identify, manage, and mitigate material cybersecurity threats, as well as to respond to and recover from cybersecurity incidents.</w:t>
      </w:r>
    </w:p>
    <w:p>
      <w:pPr>
        <w:spacing w:after="0" w:line="197" w:lineRule="exact"/>
        <w:rPr>
          <w:sz w:val="20"/>
          <w:szCs w:val="20"/>
          <w:color w:val="auto"/>
        </w:rPr>
      </w:pPr>
    </w:p>
    <w:p>
      <w:pPr>
        <w:ind w:right="280" w:firstLine="490"/>
        <w:spacing w:after="0" w:line="277" w:lineRule="auto"/>
        <w:rPr>
          <w:sz w:val="20"/>
          <w:szCs w:val="20"/>
          <w:color w:val="auto"/>
        </w:rPr>
      </w:pPr>
      <w:r>
        <w:rPr>
          <w:rFonts w:ascii="Times New Roman" w:cs="Times New Roman" w:eastAsia="Times New Roman" w:hAnsi="Times New Roman"/>
          <w:sz w:val="20"/>
          <w:szCs w:val="20"/>
          <w:color w:val="auto"/>
        </w:rPr>
        <w:t>The Company recognizes the importance of maintaining our technology and data systems. Our cybersecurity policies, standards, processes, and practices are integrated across our operational departments.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Cybersecurity Risk Management and Strategy</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As one of the elements of our overall risk management program, we focus on the following key areas:</w:t>
      </w:r>
    </w:p>
    <w:p>
      <w:pPr>
        <w:spacing w:after="0" w:line="130" w:lineRule="exact"/>
        <w:rPr>
          <w:sz w:val="20"/>
          <w:szCs w:val="20"/>
          <w:color w:val="auto"/>
        </w:rPr>
      </w:pPr>
    </w:p>
    <w:p>
      <w:pPr>
        <w:ind w:left="980" w:right="600" w:hanging="490"/>
        <w:spacing w:after="0" w:line="281" w:lineRule="auto"/>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Technical Safeguards: </w:t>
      </w:r>
      <w:r>
        <w:rPr>
          <w:rFonts w:ascii="Times New Roman" w:cs="Times New Roman" w:eastAsia="Times New Roman" w:hAnsi="Times New Roman"/>
          <w:sz w:val="20"/>
          <w:szCs w:val="20"/>
          <w:color w:val="auto"/>
        </w:rPr>
        <w:t>We deploy technical safeguards, including by not limited to firewalls, anti-malware functionality and access controls.</w:t>
      </w:r>
    </w:p>
    <w:p>
      <w:pPr>
        <w:spacing w:after="0" w:line="54" w:lineRule="exact"/>
        <w:rPr>
          <w:rFonts w:ascii="Arial" w:cs="Arial" w:eastAsia="Arial" w:hAnsi="Arial"/>
          <w:sz w:val="20"/>
          <w:szCs w:val="20"/>
          <w:color w:val="auto"/>
        </w:rPr>
      </w:pPr>
    </w:p>
    <w:p>
      <w:pPr>
        <w:ind w:left="980" w:right="440" w:hanging="490"/>
        <w:spacing w:after="0" w:line="253" w:lineRule="auto"/>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Outside Consultants: </w:t>
      </w:r>
      <w:r>
        <w:rPr>
          <w:rFonts w:ascii="Times New Roman" w:cs="Times New Roman" w:eastAsia="Times New Roman" w:hAnsi="Times New Roman"/>
          <w:sz w:val="20"/>
          <w:szCs w:val="20"/>
          <w:color w:val="292929"/>
        </w:rPr>
        <w:t>We utilize outside consultants, including contractors and other third parties,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292929"/>
        </w:rPr>
        <w:t>among other things</w:t>
      </w:r>
      <w:r>
        <w:rPr>
          <w:rFonts w:ascii="Times New Roman" w:cs="Times New Roman" w:eastAsia="Times New Roman" w:hAnsi="Times New Roman"/>
          <w:sz w:val="20"/>
          <w:szCs w:val="20"/>
          <w:color w:val="000000"/>
        </w:rPr>
        <w:t>, conduct regular testing of our networks and systems to identify vulnerabilities</w:t>
      </w:r>
      <w:r>
        <w:rPr>
          <w:rFonts w:ascii="Times New Roman" w:cs="Times New Roman" w:eastAsia="Times New Roman" w:hAnsi="Times New Roman"/>
          <w:sz w:val="20"/>
          <w:szCs w:val="20"/>
          <w:color w:val="292929"/>
        </w:rPr>
        <w:t xml:space="preserve"> </w:t>
      </w:r>
      <w:r>
        <w:rPr>
          <w:rFonts w:ascii="Times New Roman" w:cs="Times New Roman" w:eastAsia="Times New Roman" w:hAnsi="Times New Roman"/>
          <w:sz w:val="20"/>
          <w:szCs w:val="20"/>
          <w:color w:val="000000"/>
        </w:rPr>
        <w:t>through penetration testing, while also measuring and advising on potential improvements to our incident prevention, response, and documentation procedures.</w:t>
      </w:r>
    </w:p>
    <w:p>
      <w:pPr>
        <w:spacing w:after="0" w:line="193" w:lineRule="exact"/>
        <w:rPr>
          <w:sz w:val="20"/>
          <w:szCs w:val="20"/>
          <w:color w:val="auto"/>
        </w:rPr>
      </w:pPr>
    </w:p>
    <w:p>
      <w:pPr>
        <w:jc w:val="both"/>
        <w:ind w:right="400" w:firstLine="490"/>
        <w:spacing w:after="0" w:line="258" w:lineRule="auto"/>
        <w:rPr>
          <w:sz w:val="20"/>
          <w:szCs w:val="20"/>
          <w:color w:val="auto"/>
        </w:rPr>
      </w:pPr>
      <w:r>
        <w:rPr>
          <w:rFonts w:ascii="Times New Roman" w:cs="Times New Roman" w:eastAsia="Times New Roman" w:hAnsi="Times New Roman"/>
          <w:sz w:val="20"/>
          <w:szCs w:val="20"/>
          <w:color w:val="auto"/>
        </w:rPr>
        <w:t>We have not encountered cybersecurity threats or experienced previously cybersecurity incidents that have materially affected or that we believe are reasonably likely to materially affect us, including our business strategy, results of operations or financial condition.</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Governance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Board of Directors Oversight</w:t>
      </w:r>
    </w:p>
    <w:p>
      <w:pPr>
        <w:spacing w:after="0" w:line="240" w:lineRule="exact"/>
        <w:rPr>
          <w:sz w:val="20"/>
          <w:szCs w:val="20"/>
          <w:color w:val="auto"/>
        </w:rPr>
      </w:pPr>
    </w:p>
    <w:p>
      <w:pPr>
        <w:ind w:right="340" w:firstLine="490"/>
        <w:spacing w:after="0" w:line="249" w:lineRule="auto"/>
        <w:rPr>
          <w:sz w:val="20"/>
          <w:szCs w:val="20"/>
          <w:color w:val="auto"/>
        </w:rPr>
      </w:pPr>
      <w:r>
        <w:rPr>
          <w:rFonts w:ascii="Times New Roman" w:cs="Times New Roman" w:eastAsia="Times New Roman" w:hAnsi="Times New Roman"/>
          <w:sz w:val="20"/>
          <w:szCs w:val="20"/>
          <w:color w:val="auto"/>
        </w:rPr>
        <w:t>Our Board is aware of the critical nature of managing risks associated with cybersecurity threats. Management works with our Board to establish oversight mechanisms to ensure effective governance in managing risks associated with cybersecurity threats because we recognize the significance of these threats to our operational integrity and stakeholder confidence. The Board has delegated to our Audit Committee the primary responsibility for oversight of cybersecurity risks.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Management’s Role Managing Risk</w:t>
      </w:r>
    </w:p>
    <w:p>
      <w:pPr>
        <w:spacing w:after="0" w:line="240"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auto"/>
        </w:rPr>
        <w:t>Our CEO, Chief Financial Officer (“CFO”), and Information Technology Manager (“IT Manager”) play a primary role in informing the Audit Committee on cybersecurity risks. Our IT Manager has seven years of experience with the Company, which includes management of cybersecurity. These individuals monitor activity and potential risks related to the day-to-day operations of the business, including reviewing results of the work of our outside consultants. They will provide briefings to the Audit Committee on a periodic basis regarding cybersecurity matters, including but not limited to the following:</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540"/>
          </w:cols>
          <w:pgMar w:left="1260" w:top="1240" w:right="1440" w:bottom="355" w:gutter="0" w:footer="0" w:header="0"/>
          <w:type w:val="continuous"/>
        </w:sectPr>
      </w:pPr>
    </w:p>
    <w:bookmarkStart w:id="41" w:name="page42"/>
    <w:bookmarkEnd w:id="41"/>
    <w:p>
      <w:pPr>
        <w:ind w:left="980" w:hanging="490"/>
        <w:spacing w:after="0"/>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Current cybersecurity landscape and emerging threats;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Status of ongoing cybersecurity initiatives and strategies;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Incident reporting, if any, and learning from any cybersecurity events;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Risk mitigation efforts and insurance, and</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Compliance with regulatory requirements and industry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24" w:lineRule="exact"/>
        <w:rPr>
          <w:sz w:val="20"/>
          <w:szCs w:val="20"/>
          <w:color w:val="auto"/>
        </w:rPr>
      </w:pPr>
    </w:p>
    <w:p>
      <w:pPr>
        <w:ind w:right="360" w:firstLine="490"/>
        <w:spacing w:after="0" w:line="247" w:lineRule="auto"/>
        <w:rPr>
          <w:sz w:val="20"/>
          <w:szCs w:val="20"/>
          <w:color w:val="auto"/>
        </w:rPr>
      </w:pPr>
      <w:r>
        <w:rPr>
          <w:rFonts w:ascii="Times New Roman" w:cs="Times New Roman" w:eastAsia="Times New Roman" w:hAnsi="Times New Roman"/>
          <w:sz w:val="20"/>
          <w:szCs w:val="20"/>
          <w:color w:val="auto"/>
        </w:rPr>
        <w:t>As of December 31, 2025, there were 57 restaurants owned and operated by GEN Inc. Our main office is located at 11480 South Street, Suite 205, Cerritos, CA 90703 and our telephone number is (562) 356-9929. We lease our main office and substantially all of the properties in which we operate restaurants. For additional information regarding the lease terms and provisions, see Note 1. “Organization and Description of Business” and Note 11. “Leases” in our consolidated financial statements included in Item 8. “Financial Statements and Supplementary Data.”</w:t>
      </w:r>
    </w:p>
    <w:p>
      <w:pPr>
        <w:spacing w:after="0" w:line="200"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color w:val="auto"/>
        </w:rPr>
        <w:t>In addition to the six restaurants in South Korea, the table below shows the U.S. locations of our restaurants as of December 31, 2025: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City</w:t>
            </w:r>
          </w:p>
        </w:tc>
        <w:tc>
          <w:tcPr>
            <w:tcW w:w="1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State</w:t>
            </w:r>
          </w:p>
        </w:tc>
        <w:tc>
          <w:tcPr>
            <w:tcW w:w="1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Opened</w:t>
            </w:r>
          </w:p>
        </w:tc>
        <w:tc>
          <w:tcPr>
            <w:tcW w:w="14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City</w:t>
            </w:r>
          </w:p>
        </w:tc>
        <w:tc>
          <w:tcPr>
            <w:tcW w:w="140" w:type="dxa"/>
            <w:vAlign w:val="bottom"/>
          </w:tcPr>
          <w:p>
            <w:pPr>
              <w:spacing w:after="0"/>
              <w:rPr>
                <w:sz w:val="17"/>
                <w:szCs w:val="17"/>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State</w:t>
            </w:r>
          </w:p>
        </w:tc>
        <w:tc>
          <w:tcPr>
            <w:tcW w:w="140" w:type="dxa"/>
            <w:vAlign w:val="bottom"/>
          </w:tcPr>
          <w:p>
            <w:pPr>
              <w:spacing w:after="0"/>
              <w:rPr>
                <w:sz w:val="17"/>
                <w:szCs w:val="17"/>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7"/>
              </w:rPr>
              <w:t>Opened</w:t>
            </w:r>
          </w:p>
        </w:tc>
      </w:tr>
      <w:tr>
        <w:trPr>
          <w:trHeight w:val="239"/>
        </w:trPr>
        <w:tc>
          <w:tcPr>
            <w:tcW w:w="2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Tustin</w:t>
            </w:r>
          </w:p>
        </w:tc>
        <w:tc>
          <w:tcPr>
            <w:tcW w:w="14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CA</w:t>
            </w:r>
          </w:p>
        </w:tc>
        <w:tc>
          <w:tcPr>
            <w:tcW w:w="14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Sep-11</w:t>
            </w:r>
          </w:p>
        </w:tc>
        <w:tc>
          <w:tcPr>
            <w:tcW w:w="140" w:type="dxa"/>
            <w:vAlign w:val="bottom"/>
          </w:tcPr>
          <w:p>
            <w:pPr>
              <w:spacing w:after="0"/>
              <w:rPr>
                <w:sz w:val="20"/>
                <w:szCs w:val="20"/>
                <w:color w:val="auto"/>
              </w:rPr>
            </w:pPr>
          </w:p>
        </w:tc>
        <w:tc>
          <w:tcPr>
            <w:tcW w:w="2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Westgate</w:t>
            </w:r>
          </w:p>
        </w:tc>
        <w:tc>
          <w:tcPr>
            <w:tcW w:w="140" w:type="dxa"/>
            <w:vAlign w:val="bottom"/>
          </w:tcPr>
          <w:p>
            <w:pPr>
              <w:spacing w:after="0"/>
              <w:rPr>
                <w:sz w:val="20"/>
                <w:szCs w:val="20"/>
                <w:color w:val="auto"/>
              </w:rPr>
            </w:pPr>
          </w:p>
        </w:tc>
        <w:tc>
          <w:tcPr>
            <w:tcW w:w="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CA</w:t>
            </w:r>
          </w:p>
        </w:tc>
        <w:tc>
          <w:tcPr>
            <w:tcW w:w="14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Jan-18</w:t>
            </w:r>
          </w:p>
        </w:tc>
        <w:tc>
          <w:tcPr>
            <w:tcW w:w="20" w:type="dxa"/>
            <w:vAlign w:val="bottom"/>
          </w:tcPr>
          <w:p>
            <w:pPr>
              <w:spacing w:after="0"/>
              <w:rPr>
                <w:sz w:val="20"/>
                <w:szCs w:val="20"/>
                <w:color w:val="auto"/>
              </w:rPr>
            </w:pPr>
          </w:p>
        </w:tc>
      </w:tr>
      <w:tr>
        <w:trPr>
          <w:trHeight w:val="244"/>
        </w:trPr>
        <w:tc>
          <w:tcPr>
            <w:tcW w:w="23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w w:val="99"/>
              </w:rPr>
              <w:t>Huntington Beach</w:t>
            </w:r>
          </w:p>
        </w:tc>
        <w:tc>
          <w:tcPr>
            <w:tcW w:w="140" w:type="dxa"/>
            <w:vAlign w:val="bottom"/>
            <w:shd w:val="clear" w:color="auto" w:fill="EAEAEA"/>
          </w:tcPr>
          <w:p>
            <w:pPr>
              <w:spacing w:after="0"/>
              <w:rPr>
                <w:sz w:val="21"/>
                <w:szCs w:val="21"/>
                <w:color w:val="auto"/>
              </w:rPr>
            </w:pPr>
          </w:p>
        </w:tc>
        <w:tc>
          <w:tcPr>
            <w:tcW w:w="114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rPr>
              <w:t>CA</w:t>
            </w:r>
          </w:p>
        </w:tc>
        <w:tc>
          <w:tcPr>
            <w:tcW w:w="140" w:type="dxa"/>
            <w:vAlign w:val="bottom"/>
            <w:shd w:val="clear" w:color="auto" w:fill="EAEAEA"/>
          </w:tcPr>
          <w:p>
            <w:pPr>
              <w:spacing w:after="0"/>
              <w:rPr>
                <w:sz w:val="21"/>
                <w:szCs w:val="21"/>
                <w:color w:val="auto"/>
              </w:rPr>
            </w:pPr>
          </w:p>
        </w:tc>
        <w:tc>
          <w:tcPr>
            <w:tcW w:w="126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w w:val="98"/>
              </w:rPr>
              <w:t>Nov-12</w:t>
            </w:r>
          </w:p>
        </w:tc>
        <w:tc>
          <w:tcPr>
            <w:tcW w:w="140" w:type="dxa"/>
            <w:vAlign w:val="bottom"/>
            <w:shd w:val="clear" w:color="auto" w:fill="EAEAEA"/>
          </w:tcPr>
          <w:p>
            <w:pPr>
              <w:spacing w:after="0"/>
              <w:rPr>
                <w:sz w:val="21"/>
                <w:szCs w:val="21"/>
                <w:color w:val="auto"/>
              </w:rPr>
            </w:pPr>
          </w:p>
        </w:tc>
        <w:tc>
          <w:tcPr>
            <w:tcW w:w="230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rPr>
              <w:t>San Diego</w:t>
            </w:r>
          </w:p>
        </w:tc>
        <w:tc>
          <w:tcPr>
            <w:tcW w:w="140" w:type="dxa"/>
            <w:vAlign w:val="bottom"/>
            <w:shd w:val="clear" w:color="auto" w:fill="EAEAEA"/>
          </w:tcPr>
          <w:p>
            <w:pPr>
              <w:spacing w:after="0"/>
              <w:rPr>
                <w:sz w:val="21"/>
                <w:szCs w:val="21"/>
                <w:color w:val="auto"/>
              </w:rPr>
            </w:pPr>
          </w:p>
        </w:tc>
        <w:tc>
          <w:tcPr>
            <w:tcW w:w="3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rPr>
              <w:t>CA</w:t>
            </w:r>
          </w:p>
        </w:tc>
        <w:tc>
          <w:tcPr>
            <w:tcW w:w="140" w:type="dxa"/>
            <w:vAlign w:val="bottom"/>
            <w:shd w:val="clear" w:color="auto" w:fill="EAEAEA"/>
          </w:tcPr>
          <w:p>
            <w:pPr>
              <w:spacing w:after="0"/>
              <w:rPr>
                <w:sz w:val="21"/>
                <w:szCs w:val="21"/>
                <w:color w:val="auto"/>
              </w:rPr>
            </w:pPr>
          </w:p>
        </w:tc>
        <w:tc>
          <w:tcPr>
            <w:tcW w:w="1280" w:type="dxa"/>
            <w:vAlign w:val="bottom"/>
            <w:gridSpan w:val="2"/>
            <w:shd w:val="clear" w:color="auto" w:fill="EAEAEA"/>
          </w:tcPr>
          <w:p>
            <w:pPr>
              <w:jc w:val="center"/>
              <w:ind w:right="40"/>
              <w:spacing w:after="0"/>
              <w:rPr>
                <w:sz w:val="20"/>
                <w:szCs w:val="20"/>
                <w:color w:val="auto"/>
              </w:rPr>
            </w:pPr>
            <w:r>
              <w:rPr>
                <w:rFonts w:ascii="Times New Roman" w:cs="Times New Roman" w:eastAsia="Times New Roman" w:hAnsi="Times New Roman"/>
                <w:sz w:val="20"/>
                <w:szCs w:val="20"/>
                <w:color w:val="auto"/>
              </w:rPr>
              <w:t>May-18</w:t>
            </w:r>
          </w:p>
        </w:tc>
      </w:tr>
      <w:tr>
        <w:trPr>
          <w:trHeight w:val="244"/>
        </w:trPr>
        <w:tc>
          <w:tcPr>
            <w:tcW w:w="2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Alhambra</w:t>
            </w:r>
          </w:p>
        </w:tc>
        <w:tc>
          <w:tcPr>
            <w:tcW w:w="1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CA</w:t>
            </w:r>
          </w:p>
        </w:tc>
        <w:tc>
          <w:tcPr>
            <w:tcW w:w="1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Dec-12</w:t>
            </w:r>
          </w:p>
        </w:tc>
        <w:tc>
          <w:tcPr>
            <w:tcW w:w="140" w:type="dxa"/>
            <w:vAlign w:val="bottom"/>
          </w:tcPr>
          <w:p>
            <w:pPr>
              <w:spacing w:after="0"/>
              <w:rPr>
                <w:sz w:val="21"/>
                <w:szCs w:val="2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Mountain View</w:t>
            </w:r>
          </w:p>
        </w:tc>
        <w:tc>
          <w:tcPr>
            <w:tcW w:w="140" w:type="dxa"/>
            <w:vAlign w:val="bottom"/>
          </w:tcPr>
          <w:p>
            <w:pPr>
              <w:spacing w:after="0"/>
              <w:rPr>
                <w:sz w:val="21"/>
                <w:szCs w:val="2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CA</w:t>
            </w:r>
          </w:p>
        </w:tc>
        <w:tc>
          <w:tcPr>
            <w:tcW w:w="140" w:type="dxa"/>
            <w:vAlign w:val="bottom"/>
          </w:tcPr>
          <w:p>
            <w:pPr>
              <w:spacing w:after="0"/>
              <w:rPr>
                <w:sz w:val="21"/>
                <w:szCs w:val="21"/>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color w:val="auto"/>
                <w:w w:val="98"/>
              </w:rPr>
              <w:t>Nov-18</w:t>
            </w:r>
          </w:p>
        </w:tc>
      </w:tr>
      <w:tr>
        <w:trPr>
          <w:trHeight w:val="244"/>
        </w:trPr>
        <w:tc>
          <w:tcPr>
            <w:tcW w:w="23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w w:val="99"/>
              </w:rPr>
              <w:t>Oxnard</w:t>
            </w:r>
          </w:p>
        </w:tc>
        <w:tc>
          <w:tcPr>
            <w:tcW w:w="140" w:type="dxa"/>
            <w:vAlign w:val="bottom"/>
            <w:shd w:val="clear" w:color="auto" w:fill="EAEAEA"/>
          </w:tcPr>
          <w:p>
            <w:pPr>
              <w:spacing w:after="0"/>
              <w:rPr>
                <w:sz w:val="21"/>
                <w:szCs w:val="21"/>
                <w:color w:val="auto"/>
              </w:rPr>
            </w:pPr>
          </w:p>
        </w:tc>
        <w:tc>
          <w:tcPr>
            <w:tcW w:w="114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rPr>
              <w:t>CA</w:t>
            </w:r>
          </w:p>
        </w:tc>
        <w:tc>
          <w:tcPr>
            <w:tcW w:w="140" w:type="dxa"/>
            <w:vAlign w:val="bottom"/>
            <w:shd w:val="clear" w:color="auto" w:fill="EAEAEA"/>
          </w:tcPr>
          <w:p>
            <w:pPr>
              <w:spacing w:after="0"/>
              <w:rPr>
                <w:sz w:val="21"/>
                <w:szCs w:val="21"/>
                <w:color w:val="auto"/>
              </w:rPr>
            </w:pPr>
          </w:p>
        </w:tc>
        <w:tc>
          <w:tcPr>
            <w:tcW w:w="126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rPr>
              <w:t>Jun-13</w:t>
            </w:r>
          </w:p>
        </w:tc>
        <w:tc>
          <w:tcPr>
            <w:tcW w:w="140" w:type="dxa"/>
            <w:vAlign w:val="bottom"/>
            <w:shd w:val="clear" w:color="auto" w:fill="EAEAEA"/>
          </w:tcPr>
          <w:p>
            <w:pPr>
              <w:spacing w:after="0"/>
              <w:rPr>
                <w:sz w:val="21"/>
                <w:szCs w:val="21"/>
                <w:color w:val="auto"/>
              </w:rPr>
            </w:pPr>
          </w:p>
        </w:tc>
        <w:tc>
          <w:tcPr>
            <w:tcW w:w="230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w w:val="99"/>
              </w:rPr>
              <w:t>Sacramento</w:t>
            </w:r>
          </w:p>
        </w:tc>
        <w:tc>
          <w:tcPr>
            <w:tcW w:w="140" w:type="dxa"/>
            <w:vAlign w:val="bottom"/>
            <w:shd w:val="clear" w:color="auto" w:fill="EAEAEA"/>
          </w:tcPr>
          <w:p>
            <w:pPr>
              <w:spacing w:after="0"/>
              <w:rPr>
                <w:sz w:val="21"/>
                <w:szCs w:val="21"/>
                <w:color w:val="auto"/>
              </w:rPr>
            </w:pPr>
          </w:p>
        </w:tc>
        <w:tc>
          <w:tcPr>
            <w:tcW w:w="3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rPr>
              <w:t>CA</w:t>
            </w:r>
          </w:p>
        </w:tc>
        <w:tc>
          <w:tcPr>
            <w:tcW w:w="140" w:type="dxa"/>
            <w:vAlign w:val="bottom"/>
            <w:shd w:val="clear" w:color="auto" w:fill="EAEAEA"/>
          </w:tcPr>
          <w:p>
            <w:pPr>
              <w:spacing w:after="0"/>
              <w:rPr>
                <w:sz w:val="21"/>
                <w:szCs w:val="21"/>
                <w:color w:val="auto"/>
              </w:rPr>
            </w:pPr>
          </w:p>
        </w:tc>
        <w:tc>
          <w:tcPr>
            <w:tcW w:w="1280" w:type="dxa"/>
            <w:vAlign w:val="bottom"/>
            <w:gridSpan w:val="2"/>
            <w:shd w:val="clear" w:color="auto" w:fill="EAEAEA"/>
          </w:tcPr>
          <w:p>
            <w:pPr>
              <w:jc w:val="center"/>
              <w:ind w:right="40"/>
              <w:spacing w:after="0"/>
              <w:rPr>
                <w:sz w:val="20"/>
                <w:szCs w:val="20"/>
                <w:color w:val="auto"/>
              </w:rPr>
            </w:pPr>
            <w:r>
              <w:rPr>
                <w:rFonts w:ascii="Times New Roman" w:cs="Times New Roman" w:eastAsia="Times New Roman" w:hAnsi="Times New Roman"/>
                <w:sz w:val="20"/>
                <w:szCs w:val="20"/>
                <w:color w:val="auto"/>
                <w:w w:val="99"/>
              </w:rPr>
              <w:t>Mar-19</w:t>
            </w:r>
          </w:p>
        </w:tc>
      </w:tr>
      <w:tr>
        <w:trPr>
          <w:trHeight w:val="244"/>
        </w:trPr>
        <w:tc>
          <w:tcPr>
            <w:tcW w:w="2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Cerritos</w:t>
            </w:r>
          </w:p>
        </w:tc>
        <w:tc>
          <w:tcPr>
            <w:tcW w:w="1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CA</w:t>
            </w:r>
          </w:p>
        </w:tc>
        <w:tc>
          <w:tcPr>
            <w:tcW w:w="1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Jan-14</w:t>
            </w:r>
          </w:p>
        </w:tc>
        <w:tc>
          <w:tcPr>
            <w:tcW w:w="140" w:type="dxa"/>
            <w:vAlign w:val="bottom"/>
          </w:tcPr>
          <w:p>
            <w:pPr>
              <w:spacing w:after="0"/>
              <w:rPr>
                <w:sz w:val="21"/>
                <w:szCs w:val="2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Pearlridge</w:t>
            </w:r>
          </w:p>
        </w:tc>
        <w:tc>
          <w:tcPr>
            <w:tcW w:w="140" w:type="dxa"/>
            <w:vAlign w:val="bottom"/>
          </w:tcPr>
          <w:p>
            <w:pPr>
              <w:spacing w:after="0"/>
              <w:rPr>
                <w:sz w:val="21"/>
                <w:szCs w:val="2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HI</w:t>
            </w:r>
          </w:p>
        </w:tc>
        <w:tc>
          <w:tcPr>
            <w:tcW w:w="140" w:type="dxa"/>
            <w:vAlign w:val="bottom"/>
          </w:tcPr>
          <w:p>
            <w:pPr>
              <w:spacing w:after="0"/>
              <w:rPr>
                <w:sz w:val="21"/>
                <w:szCs w:val="21"/>
                <w:color w:val="auto"/>
              </w:rPr>
            </w:pPr>
          </w:p>
        </w:tc>
        <w:tc>
          <w:tcPr>
            <w:tcW w:w="12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rPr>
              <w:t>Apr-19</w:t>
            </w:r>
          </w:p>
        </w:tc>
      </w:tr>
      <w:tr>
        <w:trPr>
          <w:trHeight w:val="244"/>
        </w:trPr>
        <w:tc>
          <w:tcPr>
            <w:tcW w:w="23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rPr>
              <w:t>Torrance</w:t>
            </w:r>
          </w:p>
        </w:tc>
        <w:tc>
          <w:tcPr>
            <w:tcW w:w="140" w:type="dxa"/>
            <w:vAlign w:val="bottom"/>
            <w:shd w:val="clear" w:color="auto" w:fill="EAEAEA"/>
          </w:tcPr>
          <w:p>
            <w:pPr>
              <w:spacing w:after="0"/>
              <w:rPr>
                <w:sz w:val="21"/>
                <w:szCs w:val="21"/>
                <w:color w:val="auto"/>
              </w:rPr>
            </w:pPr>
          </w:p>
        </w:tc>
        <w:tc>
          <w:tcPr>
            <w:tcW w:w="114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rPr>
              <w:t>CA</w:t>
            </w:r>
          </w:p>
        </w:tc>
        <w:tc>
          <w:tcPr>
            <w:tcW w:w="140" w:type="dxa"/>
            <w:vAlign w:val="bottom"/>
            <w:shd w:val="clear" w:color="auto" w:fill="EAEAEA"/>
          </w:tcPr>
          <w:p>
            <w:pPr>
              <w:spacing w:after="0"/>
              <w:rPr>
                <w:sz w:val="21"/>
                <w:szCs w:val="21"/>
                <w:color w:val="auto"/>
              </w:rPr>
            </w:pPr>
          </w:p>
        </w:tc>
        <w:tc>
          <w:tcPr>
            <w:tcW w:w="126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w w:val="98"/>
              </w:rPr>
              <w:t>Aug-14</w:t>
            </w:r>
          </w:p>
        </w:tc>
        <w:tc>
          <w:tcPr>
            <w:tcW w:w="140" w:type="dxa"/>
            <w:vAlign w:val="bottom"/>
            <w:shd w:val="clear" w:color="auto" w:fill="EAEAEA"/>
          </w:tcPr>
          <w:p>
            <w:pPr>
              <w:spacing w:after="0"/>
              <w:rPr>
                <w:sz w:val="21"/>
                <w:szCs w:val="21"/>
                <w:color w:val="auto"/>
              </w:rPr>
            </w:pPr>
          </w:p>
        </w:tc>
        <w:tc>
          <w:tcPr>
            <w:tcW w:w="230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w w:val="99"/>
              </w:rPr>
              <w:t>Frisco</w:t>
            </w:r>
          </w:p>
        </w:tc>
        <w:tc>
          <w:tcPr>
            <w:tcW w:w="140" w:type="dxa"/>
            <w:vAlign w:val="bottom"/>
            <w:shd w:val="clear" w:color="auto" w:fill="EAEAEA"/>
          </w:tcPr>
          <w:p>
            <w:pPr>
              <w:spacing w:after="0"/>
              <w:rPr>
                <w:sz w:val="21"/>
                <w:szCs w:val="21"/>
                <w:color w:val="auto"/>
              </w:rPr>
            </w:pPr>
          </w:p>
        </w:tc>
        <w:tc>
          <w:tcPr>
            <w:tcW w:w="3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w w:val="97"/>
              </w:rPr>
              <w:t>TX</w:t>
            </w:r>
          </w:p>
        </w:tc>
        <w:tc>
          <w:tcPr>
            <w:tcW w:w="140" w:type="dxa"/>
            <w:vAlign w:val="bottom"/>
            <w:shd w:val="clear" w:color="auto" w:fill="EAEAEA"/>
          </w:tcPr>
          <w:p>
            <w:pPr>
              <w:spacing w:after="0"/>
              <w:rPr>
                <w:sz w:val="21"/>
                <w:szCs w:val="21"/>
                <w:color w:val="auto"/>
              </w:rPr>
            </w:pPr>
          </w:p>
        </w:tc>
        <w:tc>
          <w:tcPr>
            <w:tcW w:w="1280" w:type="dxa"/>
            <w:vAlign w:val="bottom"/>
            <w:gridSpan w:val="2"/>
            <w:shd w:val="clear" w:color="auto" w:fill="EAEAEA"/>
          </w:tcPr>
          <w:p>
            <w:pPr>
              <w:jc w:val="center"/>
              <w:ind w:right="20"/>
              <w:spacing w:after="0"/>
              <w:rPr>
                <w:sz w:val="20"/>
                <w:szCs w:val="20"/>
                <w:color w:val="auto"/>
              </w:rPr>
            </w:pPr>
            <w:r>
              <w:rPr>
                <w:rFonts w:ascii="Times New Roman" w:cs="Times New Roman" w:eastAsia="Times New Roman" w:hAnsi="Times New Roman"/>
                <w:sz w:val="20"/>
                <w:szCs w:val="20"/>
                <w:color w:val="auto"/>
                <w:w w:val="99"/>
              </w:rPr>
              <w:t>Jun-19</w:t>
            </w:r>
          </w:p>
        </w:tc>
      </w:tr>
      <w:tr>
        <w:trPr>
          <w:trHeight w:val="244"/>
        </w:trPr>
        <w:tc>
          <w:tcPr>
            <w:tcW w:w="2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Rancho Cucamonga</w:t>
            </w:r>
          </w:p>
        </w:tc>
        <w:tc>
          <w:tcPr>
            <w:tcW w:w="1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CA</w:t>
            </w:r>
          </w:p>
        </w:tc>
        <w:tc>
          <w:tcPr>
            <w:tcW w:w="1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Dec-14</w:t>
            </w:r>
          </w:p>
        </w:tc>
        <w:tc>
          <w:tcPr>
            <w:tcW w:w="140" w:type="dxa"/>
            <w:vAlign w:val="bottom"/>
          </w:tcPr>
          <w:p>
            <w:pPr>
              <w:spacing w:after="0"/>
              <w:rPr>
                <w:sz w:val="21"/>
                <w:szCs w:val="2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Houston</w:t>
            </w:r>
          </w:p>
        </w:tc>
        <w:tc>
          <w:tcPr>
            <w:tcW w:w="140" w:type="dxa"/>
            <w:vAlign w:val="bottom"/>
          </w:tcPr>
          <w:p>
            <w:pPr>
              <w:spacing w:after="0"/>
              <w:rPr>
                <w:sz w:val="21"/>
                <w:szCs w:val="2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TX</w:t>
            </w:r>
          </w:p>
        </w:tc>
        <w:tc>
          <w:tcPr>
            <w:tcW w:w="140" w:type="dxa"/>
            <w:vAlign w:val="bottom"/>
          </w:tcPr>
          <w:p>
            <w:pPr>
              <w:spacing w:after="0"/>
              <w:rPr>
                <w:sz w:val="21"/>
                <w:szCs w:val="21"/>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color w:val="auto"/>
              </w:rPr>
              <w:t>Oct-19</w:t>
            </w:r>
          </w:p>
        </w:tc>
      </w:tr>
      <w:tr>
        <w:trPr>
          <w:trHeight w:val="244"/>
        </w:trPr>
        <w:tc>
          <w:tcPr>
            <w:tcW w:w="23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rPr>
              <w:t>San Jose</w:t>
            </w:r>
          </w:p>
        </w:tc>
        <w:tc>
          <w:tcPr>
            <w:tcW w:w="140" w:type="dxa"/>
            <w:vAlign w:val="bottom"/>
            <w:shd w:val="clear" w:color="auto" w:fill="EAEAEA"/>
          </w:tcPr>
          <w:p>
            <w:pPr>
              <w:spacing w:after="0"/>
              <w:rPr>
                <w:sz w:val="21"/>
                <w:szCs w:val="21"/>
                <w:color w:val="auto"/>
              </w:rPr>
            </w:pPr>
          </w:p>
        </w:tc>
        <w:tc>
          <w:tcPr>
            <w:tcW w:w="114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rPr>
              <w:t>CA</w:t>
            </w:r>
          </w:p>
        </w:tc>
        <w:tc>
          <w:tcPr>
            <w:tcW w:w="140" w:type="dxa"/>
            <w:vAlign w:val="bottom"/>
            <w:shd w:val="clear" w:color="auto" w:fill="EAEAEA"/>
          </w:tcPr>
          <w:p>
            <w:pPr>
              <w:spacing w:after="0"/>
              <w:rPr>
                <w:sz w:val="21"/>
                <w:szCs w:val="21"/>
                <w:color w:val="auto"/>
              </w:rPr>
            </w:pPr>
          </w:p>
        </w:tc>
        <w:tc>
          <w:tcPr>
            <w:tcW w:w="126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w w:val="98"/>
              </w:rPr>
              <w:t>Aug-15</w:t>
            </w:r>
          </w:p>
        </w:tc>
        <w:tc>
          <w:tcPr>
            <w:tcW w:w="140" w:type="dxa"/>
            <w:vAlign w:val="bottom"/>
            <w:shd w:val="clear" w:color="auto" w:fill="EAEAEA"/>
          </w:tcPr>
          <w:p>
            <w:pPr>
              <w:spacing w:after="0"/>
              <w:rPr>
                <w:sz w:val="21"/>
                <w:szCs w:val="21"/>
                <w:color w:val="auto"/>
              </w:rPr>
            </w:pPr>
          </w:p>
        </w:tc>
        <w:tc>
          <w:tcPr>
            <w:tcW w:w="230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rPr>
              <w:t>Webster</w:t>
            </w:r>
          </w:p>
        </w:tc>
        <w:tc>
          <w:tcPr>
            <w:tcW w:w="140" w:type="dxa"/>
            <w:vAlign w:val="bottom"/>
            <w:shd w:val="clear" w:color="auto" w:fill="EAEAEA"/>
          </w:tcPr>
          <w:p>
            <w:pPr>
              <w:spacing w:after="0"/>
              <w:rPr>
                <w:sz w:val="21"/>
                <w:szCs w:val="21"/>
                <w:color w:val="auto"/>
              </w:rPr>
            </w:pPr>
          </w:p>
        </w:tc>
        <w:tc>
          <w:tcPr>
            <w:tcW w:w="3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w w:val="97"/>
              </w:rPr>
              <w:t>TX</w:t>
            </w:r>
          </w:p>
        </w:tc>
        <w:tc>
          <w:tcPr>
            <w:tcW w:w="140" w:type="dxa"/>
            <w:vAlign w:val="bottom"/>
            <w:shd w:val="clear" w:color="auto" w:fill="EAEAEA"/>
          </w:tcPr>
          <w:p>
            <w:pPr>
              <w:spacing w:after="0"/>
              <w:rPr>
                <w:sz w:val="21"/>
                <w:szCs w:val="21"/>
                <w:color w:val="auto"/>
              </w:rPr>
            </w:pPr>
          </w:p>
        </w:tc>
        <w:tc>
          <w:tcPr>
            <w:tcW w:w="1280" w:type="dxa"/>
            <w:vAlign w:val="bottom"/>
            <w:gridSpan w:val="2"/>
            <w:shd w:val="clear" w:color="auto" w:fill="EAEAEA"/>
          </w:tcPr>
          <w:p>
            <w:pPr>
              <w:jc w:val="center"/>
              <w:ind w:right="40"/>
              <w:spacing w:after="0"/>
              <w:rPr>
                <w:sz w:val="20"/>
                <w:szCs w:val="20"/>
                <w:color w:val="auto"/>
              </w:rPr>
            </w:pPr>
            <w:r>
              <w:rPr>
                <w:rFonts w:ascii="Times New Roman" w:cs="Times New Roman" w:eastAsia="Times New Roman" w:hAnsi="Times New Roman"/>
                <w:sz w:val="20"/>
                <w:szCs w:val="20"/>
                <w:color w:val="auto"/>
              </w:rPr>
              <w:t>May-22</w:t>
            </w:r>
          </w:p>
        </w:tc>
      </w:tr>
      <w:tr>
        <w:trPr>
          <w:trHeight w:val="244"/>
        </w:trPr>
        <w:tc>
          <w:tcPr>
            <w:tcW w:w="2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West Covina</w:t>
            </w:r>
          </w:p>
        </w:tc>
        <w:tc>
          <w:tcPr>
            <w:tcW w:w="1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CA</w:t>
            </w:r>
          </w:p>
        </w:tc>
        <w:tc>
          <w:tcPr>
            <w:tcW w:w="1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Sep-15</w:t>
            </w:r>
          </w:p>
        </w:tc>
        <w:tc>
          <w:tcPr>
            <w:tcW w:w="140" w:type="dxa"/>
            <w:vAlign w:val="bottom"/>
          </w:tcPr>
          <w:p>
            <w:pPr>
              <w:spacing w:after="0"/>
              <w:rPr>
                <w:sz w:val="21"/>
                <w:szCs w:val="2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Las Vegas/Miracle Mile</w:t>
            </w:r>
          </w:p>
        </w:tc>
        <w:tc>
          <w:tcPr>
            <w:tcW w:w="140" w:type="dxa"/>
            <w:vAlign w:val="bottom"/>
          </w:tcPr>
          <w:p>
            <w:pPr>
              <w:spacing w:after="0"/>
              <w:rPr>
                <w:sz w:val="21"/>
                <w:szCs w:val="2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NV</w:t>
            </w:r>
          </w:p>
        </w:tc>
        <w:tc>
          <w:tcPr>
            <w:tcW w:w="140" w:type="dxa"/>
            <w:vAlign w:val="bottom"/>
          </w:tcPr>
          <w:p>
            <w:pPr>
              <w:spacing w:after="0"/>
              <w:rPr>
                <w:sz w:val="21"/>
                <w:szCs w:val="21"/>
                <w:color w:val="auto"/>
              </w:rPr>
            </w:pPr>
          </w:p>
        </w:tc>
        <w:tc>
          <w:tcPr>
            <w:tcW w:w="12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w w:val="99"/>
              </w:rPr>
              <w:t>Jun-22</w:t>
            </w:r>
          </w:p>
        </w:tc>
      </w:tr>
      <w:tr>
        <w:trPr>
          <w:trHeight w:val="244"/>
        </w:trPr>
        <w:tc>
          <w:tcPr>
            <w:tcW w:w="23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w w:val="98"/>
              </w:rPr>
              <w:t>Corona</w:t>
            </w:r>
          </w:p>
        </w:tc>
        <w:tc>
          <w:tcPr>
            <w:tcW w:w="140" w:type="dxa"/>
            <w:vAlign w:val="bottom"/>
            <w:shd w:val="clear" w:color="auto" w:fill="EAEAEA"/>
          </w:tcPr>
          <w:p>
            <w:pPr>
              <w:spacing w:after="0"/>
              <w:rPr>
                <w:sz w:val="21"/>
                <w:szCs w:val="21"/>
                <w:color w:val="auto"/>
              </w:rPr>
            </w:pPr>
          </w:p>
        </w:tc>
        <w:tc>
          <w:tcPr>
            <w:tcW w:w="114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rPr>
              <w:t>CA</w:t>
            </w:r>
          </w:p>
        </w:tc>
        <w:tc>
          <w:tcPr>
            <w:tcW w:w="140" w:type="dxa"/>
            <w:vAlign w:val="bottom"/>
            <w:shd w:val="clear" w:color="auto" w:fill="EAEAEA"/>
          </w:tcPr>
          <w:p>
            <w:pPr>
              <w:spacing w:after="0"/>
              <w:rPr>
                <w:sz w:val="21"/>
                <w:szCs w:val="21"/>
                <w:color w:val="auto"/>
              </w:rPr>
            </w:pPr>
          </w:p>
        </w:tc>
        <w:tc>
          <w:tcPr>
            <w:tcW w:w="126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rPr>
              <w:t>Dec-15</w:t>
            </w:r>
          </w:p>
        </w:tc>
        <w:tc>
          <w:tcPr>
            <w:tcW w:w="140" w:type="dxa"/>
            <w:vAlign w:val="bottom"/>
            <w:shd w:val="clear" w:color="auto" w:fill="EAEAEA"/>
          </w:tcPr>
          <w:p>
            <w:pPr>
              <w:spacing w:after="0"/>
              <w:rPr>
                <w:sz w:val="21"/>
                <w:szCs w:val="21"/>
                <w:color w:val="auto"/>
              </w:rPr>
            </w:pPr>
          </w:p>
        </w:tc>
        <w:tc>
          <w:tcPr>
            <w:tcW w:w="230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rPr>
              <w:t>New York</w:t>
            </w:r>
          </w:p>
        </w:tc>
        <w:tc>
          <w:tcPr>
            <w:tcW w:w="140" w:type="dxa"/>
            <w:vAlign w:val="bottom"/>
            <w:shd w:val="clear" w:color="auto" w:fill="EAEAEA"/>
          </w:tcPr>
          <w:p>
            <w:pPr>
              <w:spacing w:after="0"/>
              <w:rPr>
                <w:sz w:val="21"/>
                <w:szCs w:val="21"/>
                <w:color w:val="auto"/>
              </w:rPr>
            </w:pPr>
          </w:p>
        </w:tc>
        <w:tc>
          <w:tcPr>
            <w:tcW w:w="3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rPr>
              <w:t>NY</w:t>
            </w:r>
          </w:p>
        </w:tc>
        <w:tc>
          <w:tcPr>
            <w:tcW w:w="140" w:type="dxa"/>
            <w:vAlign w:val="bottom"/>
            <w:shd w:val="clear" w:color="auto" w:fill="EAEAEA"/>
          </w:tcPr>
          <w:p>
            <w:pPr>
              <w:spacing w:after="0"/>
              <w:rPr>
                <w:sz w:val="21"/>
                <w:szCs w:val="21"/>
                <w:color w:val="auto"/>
              </w:rPr>
            </w:pPr>
          </w:p>
        </w:tc>
        <w:tc>
          <w:tcPr>
            <w:tcW w:w="1280" w:type="dxa"/>
            <w:vAlign w:val="bottom"/>
            <w:gridSpan w:val="2"/>
            <w:shd w:val="clear" w:color="auto" w:fill="EAEAEA"/>
          </w:tcPr>
          <w:p>
            <w:pPr>
              <w:jc w:val="center"/>
              <w:ind w:right="40"/>
              <w:spacing w:after="0"/>
              <w:rPr>
                <w:sz w:val="20"/>
                <w:szCs w:val="20"/>
                <w:color w:val="auto"/>
              </w:rPr>
            </w:pPr>
            <w:r>
              <w:rPr>
                <w:rFonts w:ascii="Times New Roman" w:cs="Times New Roman" w:eastAsia="Times New Roman" w:hAnsi="Times New Roman"/>
                <w:sz w:val="20"/>
                <w:szCs w:val="20"/>
                <w:color w:val="auto"/>
              </w:rPr>
              <w:t>Dec-22</w:t>
            </w:r>
          </w:p>
        </w:tc>
      </w:tr>
      <w:tr>
        <w:trPr>
          <w:trHeight w:val="244"/>
        </w:trPr>
        <w:tc>
          <w:tcPr>
            <w:tcW w:w="2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Northridge</w:t>
            </w:r>
          </w:p>
        </w:tc>
        <w:tc>
          <w:tcPr>
            <w:tcW w:w="1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CA</w:t>
            </w:r>
          </w:p>
        </w:tc>
        <w:tc>
          <w:tcPr>
            <w:tcW w:w="1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Dec-15</w:t>
            </w:r>
          </w:p>
        </w:tc>
        <w:tc>
          <w:tcPr>
            <w:tcW w:w="140" w:type="dxa"/>
            <w:vAlign w:val="bottom"/>
          </w:tcPr>
          <w:p>
            <w:pPr>
              <w:spacing w:after="0"/>
              <w:rPr>
                <w:sz w:val="21"/>
                <w:szCs w:val="2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Cerritos</w:t>
            </w:r>
          </w:p>
        </w:tc>
        <w:tc>
          <w:tcPr>
            <w:tcW w:w="140" w:type="dxa"/>
            <w:vAlign w:val="bottom"/>
          </w:tcPr>
          <w:p>
            <w:pPr>
              <w:spacing w:after="0"/>
              <w:rPr>
                <w:sz w:val="21"/>
                <w:szCs w:val="2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CA</w:t>
            </w:r>
          </w:p>
        </w:tc>
        <w:tc>
          <w:tcPr>
            <w:tcW w:w="140" w:type="dxa"/>
            <w:vAlign w:val="bottom"/>
          </w:tcPr>
          <w:p>
            <w:pPr>
              <w:spacing w:after="0"/>
              <w:rPr>
                <w:sz w:val="21"/>
                <w:szCs w:val="21"/>
                <w:color w:val="auto"/>
              </w:rPr>
            </w:pPr>
          </w:p>
        </w:tc>
        <w:tc>
          <w:tcPr>
            <w:tcW w:w="12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rPr>
              <w:t>Apr-23</w:t>
            </w:r>
          </w:p>
        </w:tc>
      </w:tr>
      <w:tr>
        <w:trPr>
          <w:trHeight w:val="244"/>
        </w:trPr>
        <w:tc>
          <w:tcPr>
            <w:tcW w:w="23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rPr>
              <w:t>Chino Hills</w:t>
            </w:r>
          </w:p>
        </w:tc>
        <w:tc>
          <w:tcPr>
            <w:tcW w:w="140" w:type="dxa"/>
            <w:vAlign w:val="bottom"/>
            <w:shd w:val="clear" w:color="auto" w:fill="EAEAEA"/>
          </w:tcPr>
          <w:p>
            <w:pPr>
              <w:spacing w:after="0"/>
              <w:rPr>
                <w:sz w:val="21"/>
                <w:szCs w:val="21"/>
                <w:color w:val="auto"/>
              </w:rPr>
            </w:pPr>
          </w:p>
        </w:tc>
        <w:tc>
          <w:tcPr>
            <w:tcW w:w="114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rPr>
              <w:t>CA</w:t>
            </w:r>
          </w:p>
        </w:tc>
        <w:tc>
          <w:tcPr>
            <w:tcW w:w="140" w:type="dxa"/>
            <w:vAlign w:val="bottom"/>
            <w:shd w:val="clear" w:color="auto" w:fill="EAEAEA"/>
          </w:tcPr>
          <w:p>
            <w:pPr>
              <w:spacing w:after="0"/>
              <w:rPr>
                <w:sz w:val="21"/>
                <w:szCs w:val="21"/>
                <w:color w:val="auto"/>
              </w:rPr>
            </w:pPr>
          </w:p>
        </w:tc>
        <w:tc>
          <w:tcPr>
            <w:tcW w:w="126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rPr>
              <w:t>Apr-16</w:t>
            </w:r>
          </w:p>
        </w:tc>
        <w:tc>
          <w:tcPr>
            <w:tcW w:w="140" w:type="dxa"/>
            <w:vAlign w:val="bottom"/>
            <w:shd w:val="clear" w:color="auto" w:fill="EAEAEA"/>
          </w:tcPr>
          <w:p>
            <w:pPr>
              <w:spacing w:after="0"/>
              <w:rPr>
                <w:sz w:val="21"/>
                <w:szCs w:val="21"/>
                <w:color w:val="auto"/>
              </w:rPr>
            </w:pPr>
          </w:p>
        </w:tc>
        <w:tc>
          <w:tcPr>
            <w:tcW w:w="230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w w:val="98"/>
              </w:rPr>
              <w:t>Chandler</w:t>
            </w:r>
          </w:p>
        </w:tc>
        <w:tc>
          <w:tcPr>
            <w:tcW w:w="140" w:type="dxa"/>
            <w:vAlign w:val="bottom"/>
            <w:shd w:val="clear" w:color="auto" w:fill="EAEAEA"/>
          </w:tcPr>
          <w:p>
            <w:pPr>
              <w:spacing w:after="0"/>
              <w:rPr>
                <w:sz w:val="21"/>
                <w:szCs w:val="21"/>
                <w:color w:val="auto"/>
              </w:rPr>
            </w:pPr>
          </w:p>
        </w:tc>
        <w:tc>
          <w:tcPr>
            <w:tcW w:w="3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w w:val="97"/>
              </w:rPr>
              <w:t>AZ</w:t>
            </w:r>
          </w:p>
        </w:tc>
        <w:tc>
          <w:tcPr>
            <w:tcW w:w="140" w:type="dxa"/>
            <w:vAlign w:val="bottom"/>
            <w:shd w:val="clear" w:color="auto" w:fill="EAEAEA"/>
          </w:tcPr>
          <w:p>
            <w:pPr>
              <w:spacing w:after="0"/>
              <w:rPr>
                <w:sz w:val="21"/>
                <w:szCs w:val="21"/>
                <w:color w:val="auto"/>
              </w:rPr>
            </w:pPr>
          </w:p>
        </w:tc>
        <w:tc>
          <w:tcPr>
            <w:tcW w:w="1280" w:type="dxa"/>
            <w:vAlign w:val="bottom"/>
            <w:gridSpan w:val="2"/>
            <w:shd w:val="clear" w:color="auto" w:fill="EAEAEA"/>
          </w:tcPr>
          <w:p>
            <w:pPr>
              <w:jc w:val="center"/>
              <w:ind w:right="20"/>
              <w:spacing w:after="0"/>
              <w:rPr>
                <w:sz w:val="20"/>
                <w:szCs w:val="20"/>
                <w:color w:val="auto"/>
              </w:rPr>
            </w:pPr>
            <w:r>
              <w:rPr>
                <w:rFonts w:ascii="Times New Roman" w:cs="Times New Roman" w:eastAsia="Times New Roman" w:hAnsi="Times New Roman"/>
                <w:sz w:val="20"/>
                <w:szCs w:val="20"/>
                <w:color w:val="auto"/>
                <w:w w:val="99"/>
              </w:rPr>
              <w:t>Jun-23</w:t>
            </w:r>
          </w:p>
        </w:tc>
      </w:tr>
      <w:tr>
        <w:trPr>
          <w:trHeight w:val="244"/>
        </w:trPr>
        <w:tc>
          <w:tcPr>
            <w:tcW w:w="2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Carrollton</w:t>
            </w:r>
          </w:p>
        </w:tc>
        <w:tc>
          <w:tcPr>
            <w:tcW w:w="1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TX</w:t>
            </w:r>
          </w:p>
        </w:tc>
        <w:tc>
          <w:tcPr>
            <w:tcW w:w="1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Sep-16</w:t>
            </w:r>
          </w:p>
        </w:tc>
        <w:tc>
          <w:tcPr>
            <w:tcW w:w="140" w:type="dxa"/>
            <w:vAlign w:val="bottom"/>
          </w:tcPr>
          <w:p>
            <w:pPr>
              <w:spacing w:after="0"/>
              <w:rPr>
                <w:sz w:val="21"/>
                <w:szCs w:val="2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Fort Lauderdale</w:t>
            </w:r>
          </w:p>
        </w:tc>
        <w:tc>
          <w:tcPr>
            <w:tcW w:w="140" w:type="dxa"/>
            <w:vAlign w:val="bottom"/>
          </w:tcPr>
          <w:p>
            <w:pPr>
              <w:spacing w:after="0"/>
              <w:rPr>
                <w:sz w:val="21"/>
                <w:szCs w:val="2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FL</w:t>
            </w:r>
          </w:p>
        </w:tc>
        <w:tc>
          <w:tcPr>
            <w:tcW w:w="140" w:type="dxa"/>
            <w:vAlign w:val="bottom"/>
          </w:tcPr>
          <w:p>
            <w:pPr>
              <w:spacing w:after="0"/>
              <w:rPr>
                <w:sz w:val="21"/>
                <w:szCs w:val="21"/>
                <w:color w:val="auto"/>
              </w:rPr>
            </w:pPr>
          </w:p>
        </w:tc>
        <w:tc>
          <w:tcPr>
            <w:tcW w:w="12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w w:val="99"/>
              </w:rPr>
              <w:t>Jun-23</w:t>
            </w:r>
          </w:p>
        </w:tc>
      </w:tr>
      <w:tr>
        <w:trPr>
          <w:trHeight w:val="244"/>
        </w:trPr>
        <w:tc>
          <w:tcPr>
            <w:tcW w:w="23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w w:val="97"/>
              </w:rPr>
              <w:t>Honolulu</w:t>
            </w:r>
          </w:p>
        </w:tc>
        <w:tc>
          <w:tcPr>
            <w:tcW w:w="140" w:type="dxa"/>
            <w:vAlign w:val="bottom"/>
            <w:shd w:val="clear" w:color="auto" w:fill="EAEAEA"/>
          </w:tcPr>
          <w:p>
            <w:pPr>
              <w:spacing w:after="0"/>
              <w:rPr>
                <w:sz w:val="21"/>
                <w:szCs w:val="21"/>
                <w:color w:val="auto"/>
              </w:rPr>
            </w:pPr>
          </w:p>
        </w:tc>
        <w:tc>
          <w:tcPr>
            <w:tcW w:w="114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w w:val="94"/>
              </w:rPr>
              <w:t>HI</w:t>
            </w:r>
          </w:p>
        </w:tc>
        <w:tc>
          <w:tcPr>
            <w:tcW w:w="140" w:type="dxa"/>
            <w:vAlign w:val="bottom"/>
            <w:shd w:val="clear" w:color="auto" w:fill="EAEAEA"/>
          </w:tcPr>
          <w:p>
            <w:pPr>
              <w:spacing w:after="0"/>
              <w:rPr>
                <w:sz w:val="21"/>
                <w:szCs w:val="21"/>
                <w:color w:val="auto"/>
              </w:rPr>
            </w:pPr>
          </w:p>
        </w:tc>
        <w:tc>
          <w:tcPr>
            <w:tcW w:w="126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w w:val="99"/>
              </w:rPr>
              <w:t>Mar-17</w:t>
            </w:r>
          </w:p>
        </w:tc>
        <w:tc>
          <w:tcPr>
            <w:tcW w:w="140" w:type="dxa"/>
            <w:vAlign w:val="bottom"/>
            <w:shd w:val="clear" w:color="auto" w:fill="EAEAEA"/>
          </w:tcPr>
          <w:p>
            <w:pPr>
              <w:spacing w:after="0"/>
              <w:rPr>
                <w:sz w:val="21"/>
                <w:szCs w:val="21"/>
                <w:color w:val="auto"/>
              </w:rPr>
            </w:pPr>
          </w:p>
        </w:tc>
        <w:tc>
          <w:tcPr>
            <w:tcW w:w="230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w w:val="99"/>
              </w:rPr>
              <w:t>Westheimer</w:t>
            </w:r>
          </w:p>
        </w:tc>
        <w:tc>
          <w:tcPr>
            <w:tcW w:w="140" w:type="dxa"/>
            <w:vAlign w:val="bottom"/>
            <w:shd w:val="clear" w:color="auto" w:fill="EAEAEA"/>
          </w:tcPr>
          <w:p>
            <w:pPr>
              <w:spacing w:after="0"/>
              <w:rPr>
                <w:sz w:val="21"/>
                <w:szCs w:val="21"/>
                <w:color w:val="auto"/>
              </w:rPr>
            </w:pPr>
          </w:p>
        </w:tc>
        <w:tc>
          <w:tcPr>
            <w:tcW w:w="3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w w:val="97"/>
              </w:rPr>
              <w:t>TX</w:t>
            </w:r>
          </w:p>
        </w:tc>
        <w:tc>
          <w:tcPr>
            <w:tcW w:w="140" w:type="dxa"/>
            <w:vAlign w:val="bottom"/>
            <w:shd w:val="clear" w:color="auto" w:fill="EAEAEA"/>
          </w:tcPr>
          <w:p>
            <w:pPr>
              <w:spacing w:after="0"/>
              <w:rPr>
                <w:sz w:val="21"/>
                <w:szCs w:val="21"/>
                <w:color w:val="auto"/>
              </w:rPr>
            </w:pPr>
          </w:p>
        </w:tc>
        <w:tc>
          <w:tcPr>
            <w:tcW w:w="1280" w:type="dxa"/>
            <w:vAlign w:val="bottom"/>
            <w:gridSpan w:val="2"/>
            <w:shd w:val="clear" w:color="auto" w:fill="EAEAEA"/>
          </w:tcPr>
          <w:p>
            <w:pPr>
              <w:jc w:val="center"/>
              <w:ind w:right="40"/>
              <w:spacing w:after="0"/>
              <w:rPr>
                <w:sz w:val="20"/>
                <w:szCs w:val="20"/>
                <w:color w:val="auto"/>
              </w:rPr>
            </w:pPr>
            <w:r>
              <w:rPr>
                <w:rFonts w:ascii="Times New Roman" w:cs="Times New Roman" w:eastAsia="Times New Roman" w:hAnsi="Times New Roman"/>
                <w:sz w:val="20"/>
                <w:szCs w:val="20"/>
                <w:color w:val="auto"/>
              </w:rPr>
              <w:t>Oct-23</w:t>
            </w:r>
          </w:p>
        </w:tc>
      </w:tr>
      <w:tr>
        <w:trPr>
          <w:trHeight w:val="258"/>
        </w:trPr>
        <w:tc>
          <w:tcPr>
            <w:tcW w:w="2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Glendale</w:t>
            </w:r>
          </w:p>
        </w:tc>
        <w:tc>
          <w:tcPr>
            <w:tcW w:w="14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CA</w:t>
            </w:r>
          </w:p>
        </w:tc>
        <w:tc>
          <w:tcPr>
            <w:tcW w:w="14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Mar-17</w:t>
            </w:r>
          </w:p>
        </w:tc>
        <w:tc>
          <w:tcPr>
            <w:tcW w:w="140" w:type="dxa"/>
            <w:vAlign w:val="bottom"/>
          </w:tcPr>
          <w:p>
            <w:pPr>
              <w:spacing w:after="0"/>
              <w:rPr>
                <w:sz w:val="22"/>
                <w:szCs w:val="22"/>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Kapolei</w:t>
            </w:r>
          </w:p>
        </w:tc>
        <w:tc>
          <w:tcPr>
            <w:tcW w:w="140" w:type="dxa"/>
            <w:vAlign w:val="bottom"/>
          </w:tcPr>
          <w:p>
            <w:pPr>
              <w:spacing w:after="0"/>
              <w:rPr>
                <w:sz w:val="22"/>
                <w:szCs w:val="22"/>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HI</w:t>
            </w:r>
          </w:p>
        </w:tc>
        <w:tc>
          <w:tcPr>
            <w:tcW w:w="140" w:type="dxa"/>
            <w:vAlign w:val="bottom"/>
          </w:tcPr>
          <w:p>
            <w:pPr>
              <w:spacing w:after="0"/>
              <w:rPr>
                <w:sz w:val="22"/>
                <w:szCs w:val="22"/>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color w:val="auto"/>
                <w:w w:val="98"/>
              </w:rPr>
              <w:t>Nov-23</w:t>
            </w:r>
          </w:p>
        </w:tc>
      </w:tr>
      <w:tr>
        <w:trPr>
          <w:trHeight w:val="244"/>
        </w:trPr>
        <w:tc>
          <w:tcPr>
            <w:tcW w:w="23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rPr>
              <w:t>Fullerton</w:t>
            </w:r>
          </w:p>
        </w:tc>
        <w:tc>
          <w:tcPr>
            <w:tcW w:w="140" w:type="dxa"/>
            <w:vAlign w:val="bottom"/>
            <w:shd w:val="clear" w:color="auto" w:fill="EAEAEA"/>
          </w:tcPr>
          <w:p>
            <w:pPr>
              <w:spacing w:after="0"/>
              <w:rPr>
                <w:sz w:val="21"/>
                <w:szCs w:val="21"/>
                <w:color w:val="auto"/>
              </w:rPr>
            </w:pPr>
          </w:p>
        </w:tc>
        <w:tc>
          <w:tcPr>
            <w:tcW w:w="114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rPr>
              <w:t>CA</w:t>
            </w:r>
          </w:p>
        </w:tc>
        <w:tc>
          <w:tcPr>
            <w:tcW w:w="140" w:type="dxa"/>
            <w:vAlign w:val="bottom"/>
            <w:shd w:val="clear" w:color="auto" w:fill="EAEAEA"/>
          </w:tcPr>
          <w:p>
            <w:pPr>
              <w:spacing w:after="0"/>
              <w:rPr>
                <w:sz w:val="21"/>
                <w:szCs w:val="21"/>
                <w:color w:val="auto"/>
              </w:rPr>
            </w:pPr>
          </w:p>
        </w:tc>
        <w:tc>
          <w:tcPr>
            <w:tcW w:w="126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w w:val="99"/>
              </w:rPr>
              <w:t>Jul-17</w:t>
            </w:r>
          </w:p>
        </w:tc>
        <w:tc>
          <w:tcPr>
            <w:tcW w:w="140" w:type="dxa"/>
            <w:vAlign w:val="bottom"/>
            <w:shd w:val="clear" w:color="auto" w:fill="EAEAEA"/>
          </w:tcPr>
          <w:p>
            <w:pPr>
              <w:spacing w:after="0"/>
              <w:rPr>
                <w:sz w:val="21"/>
                <w:szCs w:val="21"/>
                <w:color w:val="auto"/>
              </w:rPr>
            </w:pPr>
          </w:p>
        </w:tc>
        <w:tc>
          <w:tcPr>
            <w:tcW w:w="230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rPr>
              <w:t>Arlington</w:t>
            </w:r>
          </w:p>
        </w:tc>
        <w:tc>
          <w:tcPr>
            <w:tcW w:w="140" w:type="dxa"/>
            <w:vAlign w:val="bottom"/>
            <w:shd w:val="clear" w:color="auto" w:fill="EAEAEA"/>
          </w:tcPr>
          <w:p>
            <w:pPr>
              <w:spacing w:after="0"/>
              <w:rPr>
                <w:sz w:val="21"/>
                <w:szCs w:val="21"/>
                <w:color w:val="auto"/>
              </w:rPr>
            </w:pPr>
          </w:p>
        </w:tc>
        <w:tc>
          <w:tcPr>
            <w:tcW w:w="3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w w:val="97"/>
              </w:rPr>
              <w:t>TX</w:t>
            </w:r>
          </w:p>
        </w:tc>
        <w:tc>
          <w:tcPr>
            <w:tcW w:w="140" w:type="dxa"/>
            <w:vAlign w:val="bottom"/>
            <w:shd w:val="clear" w:color="auto" w:fill="EAEAEA"/>
          </w:tcPr>
          <w:p>
            <w:pPr>
              <w:spacing w:after="0"/>
              <w:rPr>
                <w:sz w:val="21"/>
                <w:szCs w:val="21"/>
                <w:color w:val="auto"/>
              </w:rPr>
            </w:pPr>
          </w:p>
        </w:tc>
        <w:tc>
          <w:tcPr>
            <w:tcW w:w="1280" w:type="dxa"/>
            <w:vAlign w:val="bottom"/>
            <w:gridSpan w:val="2"/>
            <w:shd w:val="clear" w:color="auto" w:fill="EAEAEA"/>
          </w:tcPr>
          <w:p>
            <w:pPr>
              <w:jc w:val="center"/>
              <w:ind w:right="40"/>
              <w:spacing w:after="0"/>
              <w:rPr>
                <w:sz w:val="20"/>
                <w:szCs w:val="20"/>
                <w:color w:val="auto"/>
              </w:rPr>
            </w:pPr>
            <w:r>
              <w:rPr>
                <w:rFonts w:ascii="Times New Roman" w:cs="Times New Roman" w:eastAsia="Times New Roman" w:hAnsi="Times New Roman"/>
                <w:sz w:val="20"/>
                <w:szCs w:val="20"/>
                <w:color w:val="auto"/>
              </w:rPr>
              <w:t>Dec-23</w:t>
            </w:r>
          </w:p>
        </w:tc>
      </w:tr>
      <w:tr>
        <w:trPr>
          <w:trHeight w:val="244"/>
        </w:trPr>
        <w:tc>
          <w:tcPr>
            <w:tcW w:w="2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Fremont</w:t>
            </w:r>
          </w:p>
        </w:tc>
        <w:tc>
          <w:tcPr>
            <w:tcW w:w="1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CA</w:t>
            </w:r>
          </w:p>
        </w:tc>
        <w:tc>
          <w:tcPr>
            <w:tcW w:w="1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Aug-17</w:t>
            </w:r>
          </w:p>
        </w:tc>
        <w:tc>
          <w:tcPr>
            <w:tcW w:w="140" w:type="dxa"/>
            <w:vAlign w:val="bottom"/>
          </w:tcPr>
          <w:p>
            <w:pPr>
              <w:spacing w:after="0"/>
              <w:rPr>
                <w:sz w:val="21"/>
                <w:szCs w:val="2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Seattle</w:t>
            </w:r>
          </w:p>
        </w:tc>
        <w:tc>
          <w:tcPr>
            <w:tcW w:w="140" w:type="dxa"/>
            <w:vAlign w:val="bottom"/>
          </w:tcPr>
          <w:p>
            <w:pPr>
              <w:spacing w:after="0"/>
              <w:rPr>
                <w:sz w:val="21"/>
                <w:szCs w:val="2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WA</w:t>
            </w:r>
          </w:p>
        </w:tc>
        <w:tc>
          <w:tcPr>
            <w:tcW w:w="140" w:type="dxa"/>
            <w:vAlign w:val="bottom"/>
          </w:tcPr>
          <w:p>
            <w:pPr>
              <w:spacing w:after="0"/>
              <w:rPr>
                <w:sz w:val="21"/>
                <w:szCs w:val="21"/>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color w:val="auto"/>
                <w:w w:val="99"/>
              </w:rPr>
              <w:t>Mar-24</w:t>
            </w:r>
          </w:p>
        </w:tc>
      </w:tr>
      <w:tr>
        <w:trPr>
          <w:trHeight w:val="258"/>
        </w:trPr>
        <w:tc>
          <w:tcPr>
            <w:tcW w:w="23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w w:val="97"/>
              </w:rPr>
              <w:t>Tempe</w:t>
            </w:r>
          </w:p>
        </w:tc>
        <w:tc>
          <w:tcPr>
            <w:tcW w:w="140" w:type="dxa"/>
            <w:vAlign w:val="bottom"/>
            <w:shd w:val="clear" w:color="auto" w:fill="EAEAEA"/>
          </w:tcPr>
          <w:p>
            <w:pPr>
              <w:spacing w:after="0"/>
              <w:rPr>
                <w:sz w:val="22"/>
                <w:szCs w:val="22"/>
                <w:color w:val="auto"/>
              </w:rPr>
            </w:pPr>
          </w:p>
        </w:tc>
        <w:tc>
          <w:tcPr>
            <w:tcW w:w="114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rPr>
              <w:t>AZ</w:t>
            </w:r>
          </w:p>
        </w:tc>
        <w:tc>
          <w:tcPr>
            <w:tcW w:w="140" w:type="dxa"/>
            <w:vAlign w:val="bottom"/>
            <w:shd w:val="clear" w:color="auto" w:fill="EAEAEA"/>
          </w:tcPr>
          <w:p>
            <w:pPr>
              <w:spacing w:after="0"/>
              <w:rPr>
                <w:sz w:val="22"/>
                <w:szCs w:val="22"/>
                <w:color w:val="auto"/>
              </w:rPr>
            </w:pPr>
          </w:p>
        </w:tc>
        <w:tc>
          <w:tcPr>
            <w:tcW w:w="126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w w:val="98"/>
              </w:rPr>
              <w:t>Sep-17</w:t>
            </w:r>
          </w:p>
        </w:tc>
        <w:tc>
          <w:tcPr>
            <w:tcW w:w="140" w:type="dxa"/>
            <w:vAlign w:val="bottom"/>
            <w:shd w:val="clear" w:color="auto" w:fill="EAEAEA"/>
          </w:tcPr>
          <w:p>
            <w:pPr>
              <w:spacing w:after="0"/>
              <w:rPr>
                <w:sz w:val="22"/>
                <w:szCs w:val="22"/>
                <w:color w:val="auto"/>
              </w:rPr>
            </w:pPr>
          </w:p>
        </w:tc>
        <w:tc>
          <w:tcPr>
            <w:tcW w:w="230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rPr>
              <w:t>Jacksonville</w:t>
            </w:r>
          </w:p>
        </w:tc>
        <w:tc>
          <w:tcPr>
            <w:tcW w:w="140" w:type="dxa"/>
            <w:vAlign w:val="bottom"/>
            <w:shd w:val="clear" w:color="auto" w:fill="EAEAEA"/>
          </w:tcPr>
          <w:p>
            <w:pPr>
              <w:spacing w:after="0"/>
              <w:rPr>
                <w:sz w:val="22"/>
                <w:szCs w:val="22"/>
                <w:color w:val="auto"/>
              </w:rPr>
            </w:pPr>
          </w:p>
        </w:tc>
        <w:tc>
          <w:tcPr>
            <w:tcW w:w="3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rPr>
              <w:t>FL</w:t>
            </w:r>
          </w:p>
        </w:tc>
        <w:tc>
          <w:tcPr>
            <w:tcW w:w="140" w:type="dxa"/>
            <w:vAlign w:val="bottom"/>
            <w:shd w:val="clear" w:color="auto" w:fill="EAEAEA"/>
          </w:tcPr>
          <w:p>
            <w:pPr>
              <w:spacing w:after="0"/>
              <w:rPr>
                <w:sz w:val="22"/>
                <w:szCs w:val="22"/>
                <w:color w:val="auto"/>
              </w:rPr>
            </w:pPr>
          </w:p>
        </w:tc>
        <w:tc>
          <w:tcPr>
            <w:tcW w:w="1280" w:type="dxa"/>
            <w:vAlign w:val="bottom"/>
            <w:gridSpan w:val="2"/>
            <w:shd w:val="clear" w:color="auto" w:fill="EAEAEA"/>
          </w:tcPr>
          <w:p>
            <w:pPr>
              <w:jc w:val="center"/>
              <w:ind w:right="20"/>
              <w:spacing w:after="0"/>
              <w:rPr>
                <w:sz w:val="20"/>
                <w:szCs w:val="20"/>
                <w:color w:val="auto"/>
              </w:rPr>
            </w:pPr>
            <w:r>
              <w:rPr>
                <w:rFonts w:ascii="Times New Roman" w:cs="Times New Roman" w:eastAsia="Times New Roman" w:hAnsi="Times New Roman"/>
                <w:sz w:val="20"/>
                <w:szCs w:val="20"/>
                <w:color w:val="auto"/>
              </w:rPr>
              <w:t>Apr-24</w:t>
            </w:r>
          </w:p>
        </w:tc>
      </w:tr>
      <w:tr>
        <w:trPr>
          <w:trHeight w:val="244"/>
        </w:trPr>
        <w:tc>
          <w:tcPr>
            <w:tcW w:w="2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Las Vegas/Sahara</w:t>
            </w:r>
          </w:p>
        </w:tc>
        <w:tc>
          <w:tcPr>
            <w:tcW w:w="1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NV</w:t>
            </w:r>
          </w:p>
        </w:tc>
        <w:tc>
          <w:tcPr>
            <w:tcW w:w="1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Dec-17</w:t>
            </w:r>
          </w:p>
        </w:tc>
        <w:tc>
          <w:tcPr>
            <w:tcW w:w="140" w:type="dxa"/>
            <w:vAlign w:val="bottom"/>
          </w:tcPr>
          <w:p>
            <w:pPr>
              <w:spacing w:after="0"/>
              <w:rPr>
                <w:sz w:val="21"/>
                <w:szCs w:val="2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Pflugerville</w:t>
            </w:r>
          </w:p>
        </w:tc>
        <w:tc>
          <w:tcPr>
            <w:tcW w:w="140" w:type="dxa"/>
            <w:vAlign w:val="bottom"/>
          </w:tcPr>
          <w:p>
            <w:pPr>
              <w:spacing w:after="0"/>
              <w:rPr>
                <w:sz w:val="21"/>
                <w:szCs w:val="2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TX</w:t>
            </w:r>
          </w:p>
        </w:tc>
        <w:tc>
          <w:tcPr>
            <w:tcW w:w="140" w:type="dxa"/>
            <w:vAlign w:val="bottom"/>
          </w:tcPr>
          <w:p>
            <w:pPr>
              <w:spacing w:after="0"/>
              <w:rPr>
                <w:sz w:val="21"/>
                <w:szCs w:val="21"/>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color w:val="auto"/>
              </w:rPr>
              <w:t>Oct-24</w:t>
            </w:r>
          </w:p>
        </w:tc>
      </w:tr>
      <w:tr>
        <w:trPr>
          <w:trHeight w:val="244"/>
        </w:trPr>
        <w:tc>
          <w:tcPr>
            <w:tcW w:w="23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w w:val="97"/>
              </w:rPr>
              <w:t>Dallas</w:t>
            </w:r>
          </w:p>
        </w:tc>
        <w:tc>
          <w:tcPr>
            <w:tcW w:w="140" w:type="dxa"/>
            <w:vAlign w:val="bottom"/>
            <w:shd w:val="clear" w:color="auto" w:fill="EAEAEA"/>
          </w:tcPr>
          <w:p>
            <w:pPr>
              <w:spacing w:after="0"/>
              <w:rPr>
                <w:sz w:val="21"/>
                <w:szCs w:val="21"/>
                <w:color w:val="auto"/>
              </w:rPr>
            </w:pPr>
          </w:p>
        </w:tc>
        <w:tc>
          <w:tcPr>
            <w:tcW w:w="114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rPr>
              <w:t>TX</w:t>
            </w:r>
          </w:p>
        </w:tc>
        <w:tc>
          <w:tcPr>
            <w:tcW w:w="140" w:type="dxa"/>
            <w:vAlign w:val="bottom"/>
            <w:shd w:val="clear" w:color="auto" w:fill="EAEAEA"/>
          </w:tcPr>
          <w:p>
            <w:pPr>
              <w:spacing w:after="0"/>
              <w:rPr>
                <w:sz w:val="21"/>
                <w:szCs w:val="21"/>
                <w:color w:val="auto"/>
              </w:rPr>
            </w:pPr>
          </w:p>
        </w:tc>
        <w:tc>
          <w:tcPr>
            <w:tcW w:w="126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w w:val="98"/>
              </w:rPr>
              <w:t>Feb-24</w:t>
            </w:r>
          </w:p>
        </w:tc>
        <w:tc>
          <w:tcPr>
            <w:tcW w:w="140" w:type="dxa"/>
            <w:vAlign w:val="bottom"/>
            <w:shd w:val="clear" w:color="auto" w:fill="EAEAEA"/>
          </w:tcPr>
          <w:p>
            <w:pPr>
              <w:spacing w:after="0"/>
              <w:rPr>
                <w:sz w:val="21"/>
                <w:szCs w:val="21"/>
                <w:color w:val="auto"/>
              </w:rPr>
            </w:pPr>
          </w:p>
        </w:tc>
        <w:tc>
          <w:tcPr>
            <w:tcW w:w="230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w w:val="99"/>
              </w:rPr>
              <w:t>Maui</w:t>
            </w:r>
          </w:p>
        </w:tc>
        <w:tc>
          <w:tcPr>
            <w:tcW w:w="140" w:type="dxa"/>
            <w:vAlign w:val="bottom"/>
            <w:shd w:val="clear" w:color="auto" w:fill="EAEAEA"/>
          </w:tcPr>
          <w:p>
            <w:pPr>
              <w:spacing w:after="0"/>
              <w:rPr>
                <w:sz w:val="21"/>
                <w:szCs w:val="21"/>
                <w:color w:val="auto"/>
              </w:rPr>
            </w:pPr>
          </w:p>
        </w:tc>
        <w:tc>
          <w:tcPr>
            <w:tcW w:w="3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rPr>
              <w:t>HI</w:t>
            </w:r>
          </w:p>
        </w:tc>
        <w:tc>
          <w:tcPr>
            <w:tcW w:w="140" w:type="dxa"/>
            <w:vAlign w:val="bottom"/>
            <w:shd w:val="clear" w:color="auto" w:fill="EAEAEA"/>
          </w:tcPr>
          <w:p>
            <w:pPr>
              <w:spacing w:after="0"/>
              <w:rPr>
                <w:sz w:val="21"/>
                <w:szCs w:val="21"/>
                <w:color w:val="auto"/>
              </w:rPr>
            </w:pPr>
          </w:p>
        </w:tc>
        <w:tc>
          <w:tcPr>
            <w:tcW w:w="1280" w:type="dxa"/>
            <w:vAlign w:val="bottom"/>
            <w:gridSpan w:val="2"/>
            <w:shd w:val="clear" w:color="auto" w:fill="EAEAEA"/>
          </w:tcPr>
          <w:p>
            <w:pPr>
              <w:jc w:val="center"/>
              <w:ind w:right="40"/>
              <w:spacing w:after="0"/>
              <w:rPr>
                <w:sz w:val="20"/>
                <w:szCs w:val="20"/>
                <w:color w:val="auto"/>
              </w:rPr>
            </w:pPr>
            <w:r>
              <w:rPr>
                <w:rFonts w:ascii="Times New Roman" w:cs="Times New Roman" w:eastAsia="Times New Roman" w:hAnsi="Times New Roman"/>
                <w:sz w:val="20"/>
                <w:szCs w:val="20"/>
                <w:color w:val="auto"/>
                <w:w w:val="98"/>
              </w:rPr>
              <w:t>Sep-24</w:t>
            </w:r>
          </w:p>
        </w:tc>
      </w:tr>
      <w:tr>
        <w:trPr>
          <w:trHeight w:val="244"/>
        </w:trPr>
        <w:tc>
          <w:tcPr>
            <w:tcW w:w="2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Concord</w:t>
            </w:r>
          </w:p>
        </w:tc>
        <w:tc>
          <w:tcPr>
            <w:tcW w:w="1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CA</w:t>
            </w:r>
          </w:p>
        </w:tc>
        <w:tc>
          <w:tcPr>
            <w:tcW w:w="1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Jan-18</w:t>
            </w:r>
          </w:p>
        </w:tc>
        <w:tc>
          <w:tcPr>
            <w:tcW w:w="140" w:type="dxa"/>
            <w:vAlign w:val="bottom"/>
          </w:tcPr>
          <w:p>
            <w:pPr>
              <w:spacing w:after="0"/>
              <w:rPr>
                <w:sz w:val="21"/>
                <w:szCs w:val="2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Tigard</w:t>
            </w:r>
          </w:p>
        </w:tc>
        <w:tc>
          <w:tcPr>
            <w:tcW w:w="140" w:type="dxa"/>
            <w:vAlign w:val="bottom"/>
          </w:tcPr>
          <w:p>
            <w:pPr>
              <w:spacing w:after="0"/>
              <w:rPr>
                <w:sz w:val="21"/>
                <w:szCs w:val="2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OR</w:t>
            </w:r>
          </w:p>
        </w:tc>
        <w:tc>
          <w:tcPr>
            <w:tcW w:w="140" w:type="dxa"/>
            <w:vAlign w:val="bottom"/>
          </w:tcPr>
          <w:p>
            <w:pPr>
              <w:spacing w:after="0"/>
              <w:rPr>
                <w:sz w:val="21"/>
                <w:szCs w:val="21"/>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color w:val="auto"/>
              </w:rPr>
              <w:t>Oct-24</w:t>
            </w:r>
          </w:p>
        </w:tc>
      </w:tr>
      <w:tr>
        <w:trPr>
          <w:trHeight w:val="244"/>
        </w:trPr>
        <w:tc>
          <w:tcPr>
            <w:tcW w:w="23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w w:val="97"/>
              </w:rPr>
              <w:t>Edison</w:t>
            </w:r>
          </w:p>
        </w:tc>
        <w:tc>
          <w:tcPr>
            <w:tcW w:w="140" w:type="dxa"/>
            <w:vAlign w:val="bottom"/>
            <w:shd w:val="clear" w:color="auto" w:fill="EAEAEA"/>
          </w:tcPr>
          <w:p>
            <w:pPr>
              <w:spacing w:after="0"/>
              <w:rPr>
                <w:sz w:val="21"/>
                <w:szCs w:val="21"/>
                <w:color w:val="auto"/>
              </w:rPr>
            </w:pPr>
          </w:p>
        </w:tc>
        <w:tc>
          <w:tcPr>
            <w:tcW w:w="114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w w:val="98"/>
              </w:rPr>
              <w:t>NJ</w:t>
            </w:r>
          </w:p>
        </w:tc>
        <w:tc>
          <w:tcPr>
            <w:tcW w:w="140" w:type="dxa"/>
            <w:vAlign w:val="bottom"/>
            <w:shd w:val="clear" w:color="auto" w:fill="EAEAEA"/>
          </w:tcPr>
          <w:p>
            <w:pPr>
              <w:spacing w:after="0"/>
              <w:rPr>
                <w:sz w:val="21"/>
                <w:szCs w:val="21"/>
                <w:color w:val="auto"/>
              </w:rPr>
            </w:pPr>
          </w:p>
        </w:tc>
        <w:tc>
          <w:tcPr>
            <w:tcW w:w="126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w w:val="97"/>
              </w:rPr>
              <w:t>Jan-25</w:t>
            </w:r>
          </w:p>
        </w:tc>
        <w:tc>
          <w:tcPr>
            <w:tcW w:w="140" w:type="dxa"/>
            <w:vAlign w:val="bottom"/>
            <w:shd w:val="clear" w:color="auto" w:fill="EAEAEA"/>
          </w:tcPr>
          <w:p>
            <w:pPr>
              <w:spacing w:after="0"/>
              <w:rPr>
                <w:sz w:val="21"/>
                <w:szCs w:val="21"/>
                <w:color w:val="auto"/>
              </w:rPr>
            </w:pPr>
          </w:p>
        </w:tc>
        <w:tc>
          <w:tcPr>
            <w:tcW w:w="230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rPr>
              <w:t>Orlando</w:t>
            </w:r>
          </w:p>
        </w:tc>
        <w:tc>
          <w:tcPr>
            <w:tcW w:w="140" w:type="dxa"/>
            <w:vAlign w:val="bottom"/>
            <w:shd w:val="clear" w:color="auto" w:fill="EAEAEA"/>
          </w:tcPr>
          <w:p>
            <w:pPr>
              <w:spacing w:after="0"/>
              <w:rPr>
                <w:sz w:val="21"/>
                <w:szCs w:val="21"/>
                <w:color w:val="auto"/>
              </w:rPr>
            </w:pPr>
          </w:p>
        </w:tc>
        <w:tc>
          <w:tcPr>
            <w:tcW w:w="3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rPr>
              <w:t>FL</w:t>
            </w:r>
          </w:p>
        </w:tc>
        <w:tc>
          <w:tcPr>
            <w:tcW w:w="140" w:type="dxa"/>
            <w:vAlign w:val="bottom"/>
            <w:shd w:val="clear" w:color="auto" w:fill="EAEAEA"/>
          </w:tcPr>
          <w:p>
            <w:pPr>
              <w:spacing w:after="0"/>
              <w:rPr>
                <w:sz w:val="21"/>
                <w:szCs w:val="21"/>
                <w:color w:val="auto"/>
              </w:rPr>
            </w:pPr>
          </w:p>
        </w:tc>
        <w:tc>
          <w:tcPr>
            <w:tcW w:w="1280" w:type="dxa"/>
            <w:vAlign w:val="bottom"/>
            <w:gridSpan w:val="2"/>
            <w:shd w:val="clear" w:color="auto" w:fill="EAEAEA"/>
          </w:tcPr>
          <w:p>
            <w:pPr>
              <w:jc w:val="center"/>
              <w:ind w:right="40"/>
              <w:spacing w:after="0"/>
              <w:rPr>
                <w:sz w:val="20"/>
                <w:szCs w:val="20"/>
                <w:color w:val="auto"/>
              </w:rPr>
            </w:pPr>
            <w:r>
              <w:rPr>
                <w:rFonts w:ascii="Times New Roman" w:cs="Times New Roman" w:eastAsia="Times New Roman" w:hAnsi="Times New Roman"/>
                <w:sz w:val="20"/>
                <w:szCs w:val="20"/>
                <w:color w:val="auto"/>
                <w:w w:val="97"/>
              </w:rPr>
              <w:t>Jan-25</w:t>
            </w:r>
          </w:p>
        </w:tc>
      </w:tr>
      <w:tr>
        <w:trPr>
          <w:trHeight w:val="258"/>
        </w:trPr>
        <w:tc>
          <w:tcPr>
            <w:tcW w:w="2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Austin/Kan Austin</w:t>
            </w:r>
          </w:p>
        </w:tc>
        <w:tc>
          <w:tcPr>
            <w:tcW w:w="14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TX</w:t>
            </w:r>
          </w:p>
        </w:tc>
        <w:tc>
          <w:tcPr>
            <w:tcW w:w="14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Mar-25</w:t>
            </w:r>
          </w:p>
        </w:tc>
        <w:tc>
          <w:tcPr>
            <w:tcW w:w="140" w:type="dxa"/>
            <w:vAlign w:val="bottom"/>
          </w:tcPr>
          <w:p>
            <w:pPr>
              <w:spacing w:after="0"/>
              <w:rPr>
                <w:sz w:val="22"/>
                <w:szCs w:val="22"/>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San Antonio</w:t>
            </w:r>
          </w:p>
        </w:tc>
        <w:tc>
          <w:tcPr>
            <w:tcW w:w="140" w:type="dxa"/>
            <w:vAlign w:val="bottom"/>
          </w:tcPr>
          <w:p>
            <w:pPr>
              <w:spacing w:after="0"/>
              <w:rPr>
                <w:sz w:val="22"/>
                <w:szCs w:val="22"/>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TX</w:t>
            </w:r>
          </w:p>
        </w:tc>
        <w:tc>
          <w:tcPr>
            <w:tcW w:w="140" w:type="dxa"/>
            <w:vAlign w:val="bottom"/>
          </w:tcPr>
          <w:p>
            <w:pPr>
              <w:spacing w:after="0"/>
              <w:rPr>
                <w:sz w:val="22"/>
                <w:szCs w:val="22"/>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color w:val="auto"/>
                <w:w w:val="97"/>
              </w:rPr>
              <w:t>Jan-25</w:t>
            </w:r>
          </w:p>
        </w:tc>
      </w:tr>
      <w:tr>
        <w:trPr>
          <w:trHeight w:val="253"/>
        </w:trPr>
        <w:tc>
          <w:tcPr>
            <w:tcW w:w="23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w w:val="98"/>
              </w:rPr>
              <w:t>Waco</w:t>
            </w:r>
          </w:p>
        </w:tc>
        <w:tc>
          <w:tcPr>
            <w:tcW w:w="140" w:type="dxa"/>
            <w:vAlign w:val="bottom"/>
            <w:shd w:val="clear" w:color="auto" w:fill="EAEAEA"/>
          </w:tcPr>
          <w:p>
            <w:pPr>
              <w:spacing w:after="0"/>
              <w:rPr>
                <w:sz w:val="21"/>
                <w:szCs w:val="21"/>
                <w:color w:val="auto"/>
              </w:rPr>
            </w:pPr>
          </w:p>
        </w:tc>
        <w:tc>
          <w:tcPr>
            <w:tcW w:w="114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rPr>
              <w:t>TX</w:t>
            </w:r>
          </w:p>
        </w:tc>
        <w:tc>
          <w:tcPr>
            <w:tcW w:w="140" w:type="dxa"/>
            <w:vAlign w:val="bottom"/>
            <w:shd w:val="clear" w:color="auto" w:fill="EAEAEA"/>
          </w:tcPr>
          <w:p>
            <w:pPr>
              <w:spacing w:after="0"/>
              <w:rPr>
                <w:sz w:val="21"/>
                <w:szCs w:val="21"/>
                <w:color w:val="auto"/>
              </w:rPr>
            </w:pPr>
          </w:p>
        </w:tc>
        <w:tc>
          <w:tcPr>
            <w:tcW w:w="126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w w:val="99"/>
              </w:rPr>
              <w:t>Jul-25</w:t>
            </w:r>
          </w:p>
        </w:tc>
        <w:tc>
          <w:tcPr>
            <w:tcW w:w="140" w:type="dxa"/>
            <w:vAlign w:val="bottom"/>
            <w:shd w:val="clear" w:color="auto" w:fill="EAEAEA"/>
          </w:tcPr>
          <w:p>
            <w:pPr>
              <w:spacing w:after="0"/>
              <w:rPr>
                <w:sz w:val="21"/>
                <w:szCs w:val="21"/>
                <w:color w:val="auto"/>
              </w:rPr>
            </w:pPr>
          </w:p>
        </w:tc>
        <w:tc>
          <w:tcPr>
            <w:tcW w:w="230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rPr>
              <w:t>Cary</w:t>
            </w:r>
          </w:p>
        </w:tc>
        <w:tc>
          <w:tcPr>
            <w:tcW w:w="140" w:type="dxa"/>
            <w:vAlign w:val="bottom"/>
            <w:shd w:val="clear" w:color="auto" w:fill="EAEAEA"/>
          </w:tcPr>
          <w:p>
            <w:pPr>
              <w:spacing w:after="0"/>
              <w:rPr>
                <w:sz w:val="21"/>
                <w:szCs w:val="21"/>
                <w:color w:val="auto"/>
              </w:rPr>
            </w:pPr>
          </w:p>
        </w:tc>
        <w:tc>
          <w:tcPr>
            <w:tcW w:w="3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rPr>
              <w:t>NC</w:t>
            </w:r>
          </w:p>
        </w:tc>
        <w:tc>
          <w:tcPr>
            <w:tcW w:w="140" w:type="dxa"/>
            <w:vAlign w:val="bottom"/>
            <w:shd w:val="clear" w:color="auto" w:fill="EAEAEA"/>
          </w:tcPr>
          <w:p>
            <w:pPr>
              <w:spacing w:after="0"/>
              <w:rPr>
                <w:sz w:val="21"/>
                <w:szCs w:val="21"/>
                <w:color w:val="auto"/>
              </w:rPr>
            </w:pPr>
          </w:p>
        </w:tc>
        <w:tc>
          <w:tcPr>
            <w:tcW w:w="1280" w:type="dxa"/>
            <w:vAlign w:val="bottom"/>
            <w:gridSpan w:val="2"/>
            <w:shd w:val="clear" w:color="auto" w:fill="EAEAEA"/>
          </w:tcPr>
          <w:p>
            <w:pPr>
              <w:jc w:val="center"/>
              <w:ind w:right="40"/>
              <w:spacing w:after="0"/>
              <w:rPr>
                <w:sz w:val="20"/>
                <w:szCs w:val="20"/>
                <w:color w:val="auto"/>
              </w:rPr>
            </w:pPr>
            <w:r>
              <w:rPr>
                <w:rFonts w:ascii="Times New Roman" w:cs="Times New Roman" w:eastAsia="Times New Roman" w:hAnsi="Times New Roman"/>
                <w:sz w:val="20"/>
                <w:szCs w:val="20"/>
                <w:color w:val="auto"/>
                <w:w w:val="99"/>
              </w:rPr>
              <w:t>Mar-25</w:t>
            </w:r>
          </w:p>
        </w:tc>
      </w:tr>
      <w:tr>
        <w:trPr>
          <w:trHeight w:val="249"/>
        </w:trPr>
        <w:tc>
          <w:tcPr>
            <w:tcW w:w="23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w w:val="96"/>
              </w:rPr>
              <w:t>La Jolla</w:t>
            </w:r>
          </w:p>
        </w:tc>
        <w:tc>
          <w:tcPr>
            <w:tcW w:w="140" w:type="dxa"/>
            <w:vAlign w:val="bottom"/>
            <w:shd w:val="clear" w:color="auto" w:fill="EAEAEA"/>
          </w:tcPr>
          <w:p>
            <w:pPr>
              <w:spacing w:after="0"/>
              <w:rPr>
                <w:sz w:val="21"/>
                <w:szCs w:val="21"/>
                <w:color w:val="auto"/>
              </w:rPr>
            </w:pPr>
          </w:p>
        </w:tc>
        <w:tc>
          <w:tcPr>
            <w:tcW w:w="114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rPr>
              <w:t>CA</w:t>
            </w:r>
          </w:p>
        </w:tc>
        <w:tc>
          <w:tcPr>
            <w:tcW w:w="140" w:type="dxa"/>
            <w:vAlign w:val="bottom"/>
            <w:shd w:val="clear" w:color="auto" w:fill="EAEAEA"/>
          </w:tcPr>
          <w:p>
            <w:pPr>
              <w:spacing w:after="0"/>
              <w:rPr>
                <w:sz w:val="21"/>
                <w:szCs w:val="21"/>
                <w:color w:val="auto"/>
              </w:rPr>
            </w:pPr>
          </w:p>
        </w:tc>
        <w:tc>
          <w:tcPr>
            <w:tcW w:w="126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w w:val="98"/>
              </w:rPr>
              <w:t>Sep-25</w:t>
            </w:r>
          </w:p>
        </w:tc>
        <w:tc>
          <w:tcPr>
            <w:tcW w:w="140" w:type="dxa"/>
            <w:vAlign w:val="bottom"/>
            <w:shd w:val="clear" w:color="auto" w:fill="EAEAEA"/>
          </w:tcPr>
          <w:p>
            <w:pPr>
              <w:spacing w:after="0"/>
              <w:rPr>
                <w:sz w:val="21"/>
                <w:szCs w:val="21"/>
                <w:color w:val="auto"/>
              </w:rPr>
            </w:pPr>
          </w:p>
        </w:tc>
        <w:tc>
          <w:tcPr>
            <w:tcW w:w="230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w w:val="98"/>
              </w:rPr>
              <w:t>El Paso</w:t>
            </w:r>
          </w:p>
        </w:tc>
        <w:tc>
          <w:tcPr>
            <w:tcW w:w="140" w:type="dxa"/>
            <w:vAlign w:val="bottom"/>
            <w:shd w:val="clear" w:color="auto" w:fill="EAEAEA"/>
          </w:tcPr>
          <w:p>
            <w:pPr>
              <w:spacing w:after="0"/>
              <w:rPr>
                <w:sz w:val="21"/>
                <w:szCs w:val="21"/>
                <w:color w:val="auto"/>
              </w:rPr>
            </w:pPr>
          </w:p>
        </w:tc>
        <w:tc>
          <w:tcPr>
            <w:tcW w:w="3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w w:val="97"/>
              </w:rPr>
              <w:t>TX</w:t>
            </w:r>
          </w:p>
        </w:tc>
        <w:tc>
          <w:tcPr>
            <w:tcW w:w="140" w:type="dxa"/>
            <w:vAlign w:val="bottom"/>
            <w:shd w:val="clear" w:color="auto" w:fill="EAEAEA"/>
          </w:tcPr>
          <w:p>
            <w:pPr>
              <w:spacing w:after="0"/>
              <w:rPr>
                <w:sz w:val="21"/>
                <w:szCs w:val="21"/>
                <w:color w:val="auto"/>
              </w:rPr>
            </w:pPr>
          </w:p>
        </w:tc>
        <w:tc>
          <w:tcPr>
            <w:tcW w:w="1280" w:type="dxa"/>
            <w:vAlign w:val="bottom"/>
            <w:gridSpan w:val="2"/>
            <w:shd w:val="clear" w:color="auto" w:fill="EAEAEA"/>
          </w:tcPr>
          <w:p>
            <w:pPr>
              <w:jc w:val="center"/>
              <w:ind w:right="20"/>
              <w:spacing w:after="0"/>
              <w:rPr>
                <w:sz w:val="20"/>
                <w:szCs w:val="20"/>
                <w:color w:val="auto"/>
              </w:rPr>
            </w:pPr>
            <w:r>
              <w:rPr>
                <w:rFonts w:ascii="Times New Roman" w:cs="Times New Roman" w:eastAsia="Times New Roman" w:hAnsi="Times New Roman"/>
                <w:sz w:val="20"/>
                <w:szCs w:val="20"/>
                <w:color w:val="auto"/>
                <w:w w:val="99"/>
              </w:rPr>
              <w:t>Jul-25</w:t>
            </w:r>
          </w:p>
        </w:tc>
      </w:tr>
    </w:tbl>
    <w:p>
      <w:pPr>
        <w:spacing w:after="0" w:line="200" w:lineRule="exact"/>
        <w:rPr>
          <w:sz w:val="20"/>
          <w:szCs w:val="20"/>
          <w:color w:val="auto"/>
        </w:rPr>
      </w:pPr>
    </w:p>
    <w:p>
      <w:pPr>
        <w:sectPr>
          <w:pgSz w:w="12240" w:h="15840" w:orient="portrait"/>
          <w:cols w:equalWidth="0" w:num="1">
            <w:col w:w="9540"/>
          </w:cols>
          <w:pgMar w:left="1260" w:top="1254"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540"/>
          </w:cols>
          <w:pgMar w:left="1260" w:top="1254" w:right="1440" w:bottom="355"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24" w:lineRule="exact"/>
        <w:rPr>
          <w:sz w:val="20"/>
          <w:szCs w:val="20"/>
          <w:color w:val="auto"/>
        </w:rPr>
      </w:pPr>
    </w:p>
    <w:p>
      <w:pPr>
        <w:ind w:right="420" w:firstLine="490"/>
        <w:spacing w:after="0" w:line="252" w:lineRule="auto"/>
        <w:rPr>
          <w:sz w:val="20"/>
          <w:szCs w:val="20"/>
          <w:color w:val="auto"/>
        </w:rPr>
      </w:pPr>
      <w:r>
        <w:rPr>
          <w:rFonts w:ascii="Times New Roman" w:cs="Times New Roman" w:eastAsia="Times New Roman" w:hAnsi="Times New Roman"/>
          <w:sz w:val="20"/>
          <w:szCs w:val="20"/>
          <w:color w:val="auto"/>
        </w:rPr>
        <w:t>We are subject to various legal proceedings and claims that arise in the ordinary course of our business. Although the outcome of these and other claims cannot be predicted with certainty, we do not believe the ultimate resolution of the current matters will have a material adverse effect on our business, financial condition, results of operations or cash flows.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540"/>
          </w:cols>
          <w:pgMar w:left="1260" w:top="1236"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540"/>
          </w:cols>
          <w:pgMar w:left="1260" w:top="1236" w:right="1440" w:bottom="355" w:gutter="0" w:footer="0" w:header="0"/>
          <w:type w:val="continuous"/>
        </w:sectPr>
      </w:pPr>
    </w:p>
    <w:bookmarkStart w:id="43" w:name="page44"/>
    <w:bookmarkEnd w:id="43"/>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120"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Our common stock trades on the Nasdaq Global Market under the symbol “GENK.”</w:t>
      </w:r>
    </w:p>
    <w:p>
      <w:pPr>
        <w:spacing w:after="0" w:line="240" w:lineRule="exact"/>
        <w:rPr>
          <w:sz w:val="20"/>
          <w:szCs w:val="20"/>
          <w:color w:val="auto"/>
        </w:rPr>
      </w:pPr>
    </w:p>
    <w:p>
      <w:pPr>
        <w:ind w:right="320" w:firstLine="490"/>
        <w:spacing w:after="0" w:line="277" w:lineRule="auto"/>
        <w:rPr>
          <w:sz w:val="20"/>
          <w:szCs w:val="20"/>
          <w:color w:val="auto"/>
        </w:rPr>
      </w:pPr>
      <w:r>
        <w:rPr>
          <w:rFonts w:ascii="Times New Roman" w:cs="Times New Roman" w:eastAsia="Times New Roman" w:hAnsi="Times New Roman"/>
          <w:sz w:val="20"/>
          <w:szCs w:val="20"/>
          <w:color w:val="auto"/>
        </w:rPr>
        <w:t>As of February 19, 2026, there were approximately 12 shareholders of record. This does not include persons whose stock is held in nominee or “street name” accounts through brokers.</w:t>
      </w: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Dividend Policy</w:t>
      </w:r>
    </w:p>
    <w:p>
      <w:pPr>
        <w:spacing w:after="0" w:line="120"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auto"/>
        </w:rPr>
        <w:t>We are not required to pay any dividends, but we did declare and pay a special cash dividends on our common stock during 2025. However, we do not presently have a plan to pay cash dividends on our Class A common stock in the future. Payment of future cash dividends, if any, will be at discretion of our Board after taking into account various factors, including our financial condition, operating results, the current and anticipated cash needs, outstanding indebtedness, plans for expansion and restrictions imposed by our debt arrangements, if any.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9540"/>
          </w:cols>
          <w:pgMar w:left="1260" w:top="1236"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540"/>
          </w:cols>
          <w:pgMar w:left="1260" w:top="1236" w:right="1440" w:bottom="355"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26" w:lineRule="exact"/>
        <w:rPr>
          <w:sz w:val="20"/>
          <w:szCs w:val="20"/>
          <w:color w:val="auto"/>
        </w:rPr>
      </w:pPr>
    </w:p>
    <w:p>
      <w:pPr>
        <w:ind w:right="380" w:firstLine="490"/>
        <w:spacing w:after="0" w:line="245" w:lineRule="auto"/>
        <w:rPr>
          <w:sz w:val="20"/>
          <w:szCs w:val="20"/>
          <w:color w:val="auto"/>
        </w:rPr>
      </w:pPr>
      <w:r>
        <w:rPr>
          <w:rFonts w:ascii="Times New Roman" w:cs="Times New Roman" w:eastAsia="Times New Roman" w:hAnsi="Times New Roman"/>
          <w:sz w:val="20"/>
          <w:szCs w:val="20"/>
          <w:i w:val="1"/>
          <w:iCs w:val="1"/>
          <w:color w:val="auto"/>
        </w:rPr>
        <w:t>The following management’s discussion and analysis of our financial condition and results of operations should be read in conjunction with the audited consolidated financial statements and related notes of GEN Inc., included in Part II, Item 8 of this Annual Report on Form 10-K, which includes GEN Restaurant Companies, LLC (the “Operating Company”) for the year ended December 31, 2025 and 2024. The terms “we”, “our”, and “us” as used herein refer to the Operating Company and its consolidated subsidiaries prior to the IPO and related transactions described in this Form 10-K and GEN Restaurant Group, Inc. and its consolidated subsidiaries, including the Operating Company, following the IPO and related transactions.</w:t>
      </w:r>
    </w:p>
    <w:p>
      <w:pPr>
        <w:spacing w:after="0" w:line="87" w:lineRule="exact"/>
        <w:rPr>
          <w:sz w:val="20"/>
          <w:szCs w:val="20"/>
          <w:color w:val="auto"/>
        </w:rPr>
      </w:pPr>
    </w:p>
    <w:p>
      <w:pPr>
        <w:ind w:right="180" w:firstLine="490"/>
        <w:spacing w:after="0" w:line="242" w:lineRule="auto"/>
        <w:rPr>
          <w:sz w:val="20"/>
          <w:szCs w:val="20"/>
          <w:color w:val="auto"/>
        </w:rPr>
      </w:pPr>
      <w:r>
        <w:rPr>
          <w:rFonts w:ascii="Times New Roman" w:cs="Times New Roman" w:eastAsia="Times New Roman" w:hAnsi="Times New Roman"/>
          <w:sz w:val="20"/>
          <w:szCs w:val="20"/>
          <w:i w:val="1"/>
          <w:iCs w:val="1"/>
          <w:color w:val="auto"/>
        </w:rPr>
        <w:t>This discussion contains forward-looking statements that involve risks and uncertainties. Our actual results could differ materially from those discussed below. All statements other than statements of historical fact contained in this Annual Report, including, without limitation, statements regarding our future results of operations or financial condition, business strategy, and plans and objectives of management for future operations, are forward-looking statements. In some cases, you can identify forward-looking statements by terminology such as “anticipate,” “believe,” “consider,” “contemplate,” “continue,” “could,” “estimate,” “expect,” “intend,” “may,” “plan,” “potential,” “predict,” “project,” “should,” “target,” “will,” or “would” or the negative of these words or other similar terms or expressions. You should not rely on forward-looking statements as predictions of future events. We have based the forward-looking statements contained in this Annual Report primarily on our current expectations and projections about future events and trends that we believe may affect our business, financial condition, and operating results. The forward-looking statements made in this Annual Report relate only to events as of the date on which the statements are made. We undertake no obligation to update any forward-looking statements to reflect future events or circumstances, new information, or the occurrence of unanticipated events, except as required by law.</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4" w:lineRule="exact"/>
        <w:rPr>
          <w:sz w:val="20"/>
          <w:szCs w:val="20"/>
          <w:color w:val="auto"/>
        </w:rPr>
      </w:pPr>
    </w:p>
    <w:p>
      <w:pPr>
        <w:ind w:right="180" w:firstLine="490"/>
        <w:spacing w:after="0" w:line="245" w:lineRule="auto"/>
        <w:rPr>
          <w:sz w:val="20"/>
          <w:szCs w:val="20"/>
          <w:color w:val="auto"/>
        </w:rPr>
      </w:pPr>
      <w:r>
        <w:rPr>
          <w:rFonts w:ascii="Times New Roman" w:cs="Times New Roman" w:eastAsia="Times New Roman" w:hAnsi="Times New Roman"/>
          <w:sz w:val="20"/>
          <w:szCs w:val="20"/>
          <w:color w:val="auto"/>
        </w:rPr>
        <w:t>GEN Restaurant Group is an Asian casual dining restaurant concept that offers an extensive menu of traditional Korean and Korean-American food, including high-quality meats, poultry, and seafood, all at a superior value. Founded in 2011 by two Korean immigrants, since opening of our first restaurant in September 2011 we have grown to 57 company-owned restaurants located in California, Arizona, Hawaii, Nevada, Texas, New York, Oregon, New Jersey, Washington, North Carolina, Florida and six stores in South Korea. Our restaurants have modern décor, lively Korean pop music playing in the background and embedded grills in the center of each table. We believe we offer our customers a unique dining experience in which guests cook the majority of the food themselves, reducing the need for chefs and servers and providing a similar customer experience across the restaurants.</w:t>
      </w:r>
    </w:p>
    <w:p>
      <w:pPr>
        <w:spacing w:after="0" w:line="202"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auto"/>
        </w:rPr>
        <w:t>We expect to continue to grow our number of restaurants in the future. For the restaurants opened in 2023 and 2024, the average Payback Periods of 2.2 years, which equates to an average ROI of approximately 45%. Going forward, we are targeting for our new restaurant units a Payback Period of less than 3 year, which equates to an ROI of 33% to 40%. Restaurants range in size from 4.7 thousand to 12 thousand square feet, and are typically located in high-activity commercial areas.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Trends</w:t>
      </w:r>
    </w:p>
    <w:p>
      <w:pPr>
        <w:spacing w:after="0" w:line="124" w:lineRule="exact"/>
        <w:rPr>
          <w:sz w:val="20"/>
          <w:szCs w:val="20"/>
          <w:color w:val="auto"/>
        </w:rPr>
      </w:pPr>
    </w:p>
    <w:p>
      <w:pPr>
        <w:ind w:right="240" w:firstLine="490"/>
        <w:spacing w:after="0" w:line="243" w:lineRule="auto"/>
        <w:rPr>
          <w:sz w:val="20"/>
          <w:szCs w:val="20"/>
          <w:color w:val="auto"/>
        </w:rPr>
      </w:pPr>
      <w:r>
        <w:rPr>
          <w:rFonts w:ascii="Times New Roman" w:cs="Times New Roman" w:eastAsia="Times New Roman" w:hAnsi="Times New Roman"/>
          <w:sz w:val="20"/>
          <w:szCs w:val="20"/>
          <w:color w:val="auto"/>
        </w:rPr>
        <w:t>Although we temporarily paused our new restaurant opening plans during the COVID-19 pandemic, our long-term growth strategy is to continue to open new restaurants in locations that we believe will achieve profitability levels consistent with our pre-pandemic experience. During 2022, we opened three new restaurants, and we opened six new restaurants during each of 2023 and 2024. During the year 2025, we opened 15 new restaurants, including six in South Korea. Subsequent to December 31, 2025, we opened two new restaurants in Tucson, AZ and Denton, TX. In addition to these opening, as of December 31, 2025 we have entered into leases for 18 new restaurant locations, with openings planned during 2026 and thereafter. The 15 restaurants opened during 2025 are located in Orlando, FL, Edison, NJ, San Antonio TX, Cary, NC, Waco, TX, El Paso, TX, La Jolla, CA and two in Austin, TX. In addition to the Tucson, AZ restaurant we opened in January 2026 and the Denton, TX restaurant we opened in March 2026 , we currently expect to open four to eight other locations during 2026. Additionally, we expanded internationally into South Korea with six Company-owned locations in 2025. Future sales and profitability levels of our restaurants and our ability to successfully implement our growth strategy in the near term, however, remain uncertain.</w:t>
      </w:r>
    </w:p>
    <w:p>
      <w:pPr>
        <w:sectPr>
          <w:pgSz w:w="12240" w:h="15840" w:orient="portrait"/>
          <w:cols w:equalWidth="0" w:num="1">
            <w:col w:w="9540"/>
          </w:cols>
          <w:pgMar w:left="1260" w:top="1236" w:right="1440" w:bottom="355"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540"/>
          </w:cols>
          <w:pgMar w:left="1260" w:top="1236" w:right="1440" w:bottom="355"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i w:val="1"/>
          <w:iCs w:val="1"/>
          <w:color w:val="auto"/>
        </w:rPr>
        <w:t>Recent Events Concerning Our Financial Position</w:t>
      </w:r>
    </w:p>
    <w:p>
      <w:pPr>
        <w:spacing w:after="0" w:line="120"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auto"/>
        </w:rPr>
        <w:t>On September 29, 2023, the Company entered into a $ 20 million line of credit with PCB bank. The line of credit matures on September 25, 2026 and bears interest at a variable rate per annum equal to 7.0% as of December 31, 2025. As of December 31, 2025 the balance was $1.0 million. On January 12, 2026, the Company paid the $1.0 million balance.</w:t>
      </w:r>
    </w:p>
    <w:p>
      <w:pPr>
        <w:spacing w:after="0" w:line="194" w:lineRule="exact"/>
        <w:rPr>
          <w:sz w:val="20"/>
          <w:szCs w:val="20"/>
          <w:color w:val="auto"/>
        </w:rPr>
      </w:pPr>
    </w:p>
    <w:p>
      <w:pPr>
        <w:ind w:right="220" w:firstLine="490"/>
        <w:spacing w:after="0" w:line="252" w:lineRule="auto"/>
        <w:rPr>
          <w:sz w:val="20"/>
          <w:szCs w:val="20"/>
          <w:color w:val="auto"/>
        </w:rPr>
      </w:pPr>
      <w:r>
        <w:rPr>
          <w:rFonts w:ascii="Times New Roman" w:cs="Times New Roman" w:eastAsia="Times New Roman" w:hAnsi="Times New Roman"/>
          <w:sz w:val="20"/>
          <w:szCs w:val="20"/>
          <w:color w:val="auto"/>
        </w:rPr>
        <w:t>During the third quarter of 2024, the Company entered into a loan agreement with PCB Bank in the amount of $3.0 million with a maturity date of June 26, 2026, at a variable interest rate which is defined as the Wall Street Journal Prime Rate plus 0.25%, resulting in an interest rate of 7.00% and 7.75% as of December 31, 2025 and 2024, respectively. The balance as of December 31, 2025 and 2024 was $0.7 million and $2.3 million, respectively.</w:t>
      </w:r>
    </w:p>
    <w:p>
      <w:pPr>
        <w:spacing w:after="0" w:line="194" w:lineRule="exact"/>
        <w:rPr>
          <w:sz w:val="20"/>
          <w:szCs w:val="20"/>
          <w:color w:val="auto"/>
        </w:rPr>
      </w:pPr>
    </w:p>
    <w:p>
      <w:pPr>
        <w:ind w:right="440" w:firstLine="490"/>
        <w:spacing w:after="0" w:line="252" w:lineRule="auto"/>
        <w:rPr>
          <w:sz w:val="20"/>
          <w:szCs w:val="20"/>
          <w:color w:val="auto"/>
        </w:rPr>
      </w:pPr>
      <w:r>
        <w:rPr>
          <w:rFonts w:ascii="Times New Roman" w:cs="Times New Roman" w:eastAsia="Times New Roman" w:hAnsi="Times New Roman"/>
          <w:sz w:val="20"/>
          <w:szCs w:val="20"/>
          <w:color w:val="auto"/>
        </w:rPr>
        <w:t>On April 25, 2025, the Company entered into a loan agreement for a $2.0 million loan with PCB Bank. The loan matures on April 25, 2027, and bears interest at a variable interest rate per annum equal to 7.00% as of December 31, 2025. The Company makes quarterly payments in the amount of $250,000, in addition to monthly interest payments. The balance as of December 31, 2025 was $1.3 million.</w:t>
      </w:r>
    </w:p>
    <w:p>
      <w:pPr>
        <w:spacing w:after="0" w:line="200" w:lineRule="exact"/>
        <w:rPr>
          <w:sz w:val="20"/>
          <w:szCs w:val="20"/>
          <w:color w:val="auto"/>
        </w:rPr>
      </w:pPr>
    </w:p>
    <w:p>
      <w:pPr>
        <w:spacing w:after="0" w:line="224"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auto"/>
        </w:rPr>
        <w:t>On July 29, 2025, the Company entered into a loan agreement for $4.0 million with PCB Bank. The loan matures on July 29, 2027, and bears interest at a variable rate per annum equal to 0.25% over the Wall Street Journal Index rate (prime rate), which equals 7.00% as of December 31, 2025. The balance as of December 31, 2025 was $3.2 million.</w:t>
      </w:r>
    </w:p>
    <w:p>
      <w:pPr>
        <w:spacing w:after="0" w:line="194" w:lineRule="exact"/>
        <w:rPr>
          <w:sz w:val="20"/>
          <w:szCs w:val="20"/>
          <w:color w:val="auto"/>
        </w:rPr>
      </w:pPr>
    </w:p>
    <w:p>
      <w:pPr>
        <w:ind w:right="360" w:firstLine="490"/>
        <w:spacing w:after="0" w:line="252" w:lineRule="auto"/>
        <w:rPr>
          <w:sz w:val="20"/>
          <w:szCs w:val="20"/>
          <w:color w:val="auto"/>
        </w:rPr>
      </w:pPr>
      <w:r>
        <w:rPr>
          <w:rFonts w:ascii="Times New Roman" w:cs="Times New Roman" w:eastAsia="Times New Roman" w:hAnsi="Times New Roman"/>
          <w:sz w:val="20"/>
          <w:szCs w:val="20"/>
          <w:color w:val="auto"/>
        </w:rPr>
        <w:t>On October 27, 2025, the Company entered into a loan agreement of $4.0 million with PCB Bank. The loan matures on October 27,2027, and bears interest at a variable rate per annum equal to 0.25% over the Wall Street Journal Prime Rate, which equaled 7.00% at December 31, 2025. The balance as of December 31, 2025 was $4.0 million.</w:t>
      </w:r>
    </w:p>
    <w:p>
      <w:pPr>
        <w:spacing w:after="0" w:line="194"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auto"/>
        </w:rPr>
        <w:t>The Company impaired fixed assets related to five restaurants in 2025, primarily related to closure decisions on underperforming restaurants. Impairment is based on our current assessment of the expected future cash flows of of various restaurants based on recent results and other specific market factors. During the year ended December 31, 2025, the Company recognized the impairment expense on fixed assets of $5.5 million.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Performance Indicators</w:t>
      </w:r>
    </w:p>
    <w:p>
      <w:pPr>
        <w:spacing w:after="0" w:line="124" w:lineRule="exact"/>
        <w:rPr>
          <w:sz w:val="20"/>
          <w:szCs w:val="20"/>
          <w:color w:val="auto"/>
        </w:rPr>
      </w:pPr>
    </w:p>
    <w:p>
      <w:pPr>
        <w:ind w:right="300" w:firstLine="490"/>
        <w:spacing w:after="0" w:line="247" w:lineRule="auto"/>
        <w:rPr>
          <w:sz w:val="20"/>
          <w:szCs w:val="20"/>
          <w:color w:val="auto"/>
        </w:rPr>
      </w:pPr>
      <w:r>
        <w:rPr>
          <w:rFonts w:ascii="Times New Roman" w:cs="Times New Roman" w:eastAsia="Times New Roman" w:hAnsi="Times New Roman"/>
          <w:sz w:val="20"/>
          <w:szCs w:val="20"/>
          <w:color w:val="auto"/>
        </w:rPr>
        <w:t>In assessing the performance of our business, we consider a variety of financial and performance measures. The key measures for determining how our business is performing include Net (Loss) Income Margin, Adjusted EBITDA, Adjusted EBITDA Margin, Adjusted net (loss) income, Adjusted Net (Loss) Income attributable to Class A common stock per share - basic and diluted, Adjusted earnings (loss) per share, (“EPS”), Restaurant-Level Adjusted EBITDA, Restaurant-Level Adjusted EBITDA Margin, Average Unit Volumes, comparable restaurant sales growth, the number of restaurant openings and revenue per square foot.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(Loss) Income Margin</w:t>
      </w:r>
    </w:p>
    <w:p>
      <w:pPr>
        <w:spacing w:after="0" w:line="120" w:lineRule="exact"/>
        <w:rPr>
          <w:sz w:val="20"/>
          <w:szCs w:val="20"/>
          <w:color w:val="auto"/>
        </w:rPr>
      </w:pPr>
    </w:p>
    <w:p>
      <w:pPr>
        <w:ind w:right="620" w:firstLine="490"/>
        <w:spacing w:after="0" w:line="277" w:lineRule="auto"/>
        <w:rPr>
          <w:sz w:val="20"/>
          <w:szCs w:val="20"/>
          <w:color w:val="auto"/>
        </w:rPr>
      </w:pPr>
      <w:r>
        <w:rPr>
          <w:rFonts w:ascii="Times New Roman" w:cs="Times New Roman" w:eastAsia="Times New Roman" w:hAnsi="Times New Roman"/>
          <w:sz w:val="20"/>
          <w:szCs w:val="20"/>
          <w:color w:val="auto"/>
        </w:rPr>
        <w:t>Net Income Margin is net income measured under accounting principles generally accepted in the United States of America (“GAAP”) divided by revenue.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EBITDA and Adjusted EBITDA Margin</w:t>
      </w:r>
    </w:p>
    <w:p>
      <w:pPr>
        <w:spacing w:after="0" w:line="120" w:lineRule="exact"/>
        <w:rPr>
          <w:sz w:val="20"/>
          <w:szCs w:val="20"/>
          <w:color w:val="auto"/>
        </w:rPr>
      </w:pPr>
    </w:p>
    <w:p>
      <w:pPr>
        <w:jc w:val="both"/>
        <w:ind w:right="220" w:firstLine="490"/>
        <w:spacing w:after="0" w:line="262" w:lineRule="auto"/>
        <w:rPr>
          <w:sz w:val="20"/>
          <w:szCs w:val="20"/>
          <w:color w:val="auto"/>
        </w:rPr>
      </w:pPr>
      <w:r>
        <w:rPr>
          <w:rFonts w:ascii="Times New Roman" w:cs="Times New Roman" w:eastAsia="Times New Roman" w:hAnsi="Times New Roman"/>
          <w:sz w:val="19"/>
          <w:szCs w:val="19"/>
          <w:color w:val="auto"/>
        </w:rPr>
        <w:t>Adjusted EBITDA represents net income excluding interest income (expense), net, income taxes, depreciation and amortization, stock-based compensation, employee retention credits, litigation accruals, non-cash lease expense, non-cash lease expense included in pre-opening costs and gain on remeasurement of previously held interest.</w:t>
      </w:r>
    </w:p>
    <w:p>
      <w:pPr>
        <w:spacing w:after="0" w:line="2" w:lineRule="exact"/>
        <w:rPr>
          <w:sz w:val="20"/>
          <w:szCs w:val="20"/>
          <w:color w:val="auto"/>
        </w:rPr>
      </w:pPr>
    </w:p>
    <w:p>
      <w:pPr>
        <w:jc w:val="both"/>
        <w:ind w:right="420"/>
        <w:spacing w:after="0" w:line="242" w:lineRule="auto"/>
        <w:rPr>
          <w:sz w:val="20"/>
          <w:szCs w:val="20"/>
          <w:color w:val="auto"/>
        </w:rPr>
      </w:pPr>
      <w:r>
        <w:rPr>
          <w:rFonts w:ascii="Times New Roman" w:cs="Times New Roman" w:eastAsia="Times New Roman" w:hAnsi="Times New Roman"/>
          <w:sz w:val="20"/>
          <w:szCs w:val="20"/>
          <w:color w:val="auto"/>
        </w:rPr>
        <w:t>Adjusted EBITDA Margin is defined as Adjusted EBITDA divided by revenue. Adjusted EBITDA and Adjusted EBITDA Margin are non-GAAP measures intended as supplemental measures of our performance and are neither required by, nor presented in accordance with, GAAP. For a discussion of why we consider these measures to be useful and their material risks and limitations, see “</w:t>
      </w:r>
      <w:r>
        <w:rPr>
          <w:rFonts w:ascii="Times New Roman" w:cs="Times New Roman" w:eastAsia="Times New Roman" w:hAnsi="Times New Roman"/>
          <w:sz w:val="20"/>
          <w:szCs w:val="20"/>
          <w:i w:val="1"/>
          <w:iCs w:val="1"/>
          <w:color w:val="auto"/>
        </w:rPr>
        <w:t>Non-GAAP Financial Measures</w:t>
      </w:r>
      <w:r>
        <w:rPr>
          <w:rFonts w:ascii="Times New Roman" w:cs="Times New Roman" w:eastAsia="Times New Roman" w:hAnsi="Times New Roman"/>
          <w:sz w:val="20"/>
          <w:szCs w:val="20"/>
          <w:color w:val="auto"/>
        </w:rPr>
        <w:t>.”</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540"/>
          </w:cols>
          <w:pgMar w:left="1260" w:top="1240" w:right="1440" w:bottom="355"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Net (Loss) Income and Adjusted EPS</w:t>
      </w:r>
    </w:p>
    <w:p>
      <w:pPr>
        <w:spacing w:after="0" w:line="120" w:lineRule="exact"/>
        <w:rPr>
          <w:sz w:val="20"/>
          <w:szCs w:val="20"/>
          <w:color w:val="auto"/>
        </w:rPr>
      </w:pPr>
    </w:p>
    <w:p>
      <w:pPr>
        <w:ind w:right="280" w:firstLine="490"/>
        <w:spacing w:after="0" w:line="244" w:lineRule="auto"/>
        <w:rPr>
          <w:sz w:val="20"/>
          <w:szCs w:val="20"/>
          <w:color w:val="auto"/>
        </w:rPr>
      </w:pPr>
      <w:r>
        <w:rPr>
          <w:rFonts w:ascii="Times New Roman" w:cs="Times New Roman" w:eastAsia="Times New Roman" w:hAnsi="Times New Roman"/>
          <w:sz w:val="20"/>
          <w:szCs w:val="20"/>
          <w:color w:val="auto"/>
        </w:rPr>
        <w:t xml:space="preserve">Adjusted Net (Loss) Income and Adjusted EPS represent net (loss) income adjusted for pre-opening costs, gain on remeasurement of previously held interest, stock based compensation, legal settlements, and the related tax impact of the adjustments. Adjusted Net (Loss) Income attributable to Class A common stock per share-basic and diluted, is Adjusted Net (Loss) Income less Adjusted Net (Loss) Income attributable to non-controlling interest. “Adjusted EPS” is Adjusted Net (Loss) Income attributable to Class A common stock per share-basic and diluted, converted to a per share amount. Adjusted Net (Loss) Income, Adjusted Net (Loss) Income attributable to Class A common stock per share-basic and diluted, and Adjusted EPS are non-GAAP measures intended as supplemental measures of our performance and are neither required by, nor presented in accordance with, GAAP. For a discussion of why we consider these measures to be useful and their material risk and limitations, see </w:t>
      </w:r>
      <w:r>
        <w:rPr>
          <w:rFonts w:ascii="Times New Roman" w:cs="Times New Roman" w:eastAsia="Times New Roman" w:hAnsi="Times New Roman"/>
          <w:sz w:val="20"/>
          <w:szCs w:val="20"/>
          <w:i w:val="1"/>
          <w:iCs w:val="1"/>
          <w:color w:val="auto"/>
        </w:rPr>
        <w:t>“Non-GAAP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Financial Measures.</w:t>
      </w:r>
      <w:r>
        <w:rPr>
          <w:rFonts w:ascii="Times New Roman" w:cs="Times New Roman" w:eastAsia="Times New Roman" w:hAnsi="Times New Roman"/>
          <w:sz w:val="20"/>
          <w:szCs w:val="20"/>
          <w:color w:val="auto"/>
        </w:rPr>
        <w:t>”</w:t>
      </w:r>
    </w:p>
    <w:p>
      <w:pPr>
        <w:spacing w:after="0" w:line="3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Restaurant-Level Adjusted EBITDA and Restaurant-Level Adjusted EBITDA Margin</w:t>
      </w:r>
    </w:p>
    <w:p>
      <w:pPr>
        <w:spacing w:after="0" w:line="120"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auto"/>
        </w:rPr>
        <w:t>Restaurant-Level Adjusted EBITDA is (loss) income from operations plus adjustments to add-back the following expenses: depreciation and amortization, pre-opening costs, general and administrative expenses, and non-cash lease expense. Non-cash items such as charges for asset impairments and asset disposals are not included in Restaurant-Level Adjusted EBITDA. Restaurant-Level Adjusted EBITDA Margin is the calculation of Restaurant-Level Adjusted EBITDA divided by revenue. For a discussion of why we consider these measures to be useful and their material risks and limitations, see “</w:t>
      </w:r>
      <w:r>
        <w:rPr>
          <w:rFonts w:ascii="Times New Roman" w:cs="Times New Roman" w:eastAsia="Times New Roman" w:hAnsi="Times New Roman"/>
          <w:sz w:val="20"/>
          <w:szCs w:val="20"/>
          <w:i w:val="1"/>
          <w:iCs w:val="1"/>
          <w:color w:val="auto"/>
        </w:rPr>
        <w:t>Non-GAAP Financial Measures</w:t>
      </w:r>
      <w:r>
        <w:rPr>
          <w:rFonts w:ascii="Times New Roman" w:cs="Times New Roman" w:eastAsia="Times New Roman" w:hAnsi="Times New Roman"/>
          <w:sz w:val="20"/>
          <w:szCs w:val="20"/>
          <w:color w:val="auto"/>
        </w:rPr>
        <w: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Average Unit Volume</w:t>
      </w:r>
    </w:p>
    <w:p>
      <w:pPr>
        <w:spacing w:after="0" w:line="120" w:lineRule="exact"/>
        <w:rPr>
          <w:sz w:val="20"/>
          <w:szCs w:val="20"/>
          <w:color w:val="auto"/>
        </w:rPr>
      </w:pPr>
    </w:p>
    <w:p>
      <w:pPr>
        <w:ind w:right="280" w:firstLine="490"/>
        <w:spacing w:after="0" w:line="249" w:lineRule="auto"/>
        <w:rPr>
          <w:sz w:val="20"/>
          <w:szCs w:val="20"/>
          <w:color w:val="auto"/>
        </w:rPr>
      </w:pPr>
      <w:r>
        <w:rPr>
          <w:rFonts w:ascii="Times New Roman" w:cs="Times New Roman" w:eastAsia="Times New Roman" w:hAnsi="Times New Roman"/>
          <w:sz w:val="20"/>
          <w:szCs w:val="20"/>
          <w:color w:val="auto"/>
        </w:rPr>
        <w:t>“Average Unit Volume” (“AUV”) means the average annual restaurant sales for all restaurants open for a full 18 months before the end of the period measured. AUV is calculated by dividing annual revenue for the year presented for all such restaurants by the total number of restaurants in that base. This measurement allows management to assess changes in consumer spending patterns at our restaurants and the overall performance of our restaurant base.</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shows the AUV for the years ended December 31, 2025 and 2024:</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99"/>
        </w:trPr>
        <w:tc>
          <w:tcPr>
            <w:tcW w:w="54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760" w:type="dxa"/>
            <w:vAlign w:val="bottom"/>
            <w:tcBorders>
              <w:top w:val="single" w:sz="8" w:color="auto"/>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Twelve months ended December 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4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3"/>
              <w:spacing w:after="0" w:line="179" w:lineRule="exact"/>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0"/>
              <w:spacing w:after="0" w:line="179"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4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Average Unit Volume</w:t>
            </w:r>
          </w:p>
        </w:tc>
        <w:tc>
          <w:tcPr>
            <w:tcW w:w="1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gridSpan w:val="2"/>
            <w:shd w:val="clear" w:color="auto" w:fill="EAEAEA"/>
          </w:tcPr>
          <w:p>
            <w:pPr>
              <w:jc w:val="right"/>
              <w:ind w:right="240"/>
              <w:spacing w:after="0"/>
              <w:rPr>
                <w:sz w:val="20"/>
                <w:szCs w:val="20"/>
                <w:color w:val="auto"/>
              </w:rPr>
            </w:pPr>
            <w:r>
              <w:rPr>
                <w:rFonts w:ascii="Times New Roman" w:cs="Times New Roman" w:eastAsia="Times New Roman" w:hAnsi="Times New Roman"/>
                <w:sz w:val="20"/>
                <w:szCs w:val="20"/>
                <w:color w:val="auto"/>
              </w:rPr>
              <w:t>5,068</w:t>
            </w:r>
          </w:p>
        </w:tc>
        <w:tc>
          <w:tcPr>
            <w:tcW w:w="300" w:type="dxa"/>
            <w:vAlign w:val="bottom"/>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gridSpan w:val="2"/>
            <w:shd w:val="clear" w:color="auto" w:fill="EAEAEA"/>
          </w:tcPr>
          <w:p>
            <w:pPr>
              <w:jc w:val="right"/>
              <w:ind w:right="80"/>
              <w:spacing w:after="0"/>
              <w:rPr>
                <w:sz w:val="20"/>
                <w:szCs w:val="20"/>
                <w:color w:val="auto"/>
              </w:rPr>
            </w:pPr>
            <w:r>
              <w:rPr>
                <w:rFonts w:ascii="Times New Roman" w:cs="Times New Roman" w:eastAsia="Times New Roman" w:hAnsi="Times New Roman"/>
                <w:sz w:val="20"/>
                <w:szCs w:val="20"/>
                <w:color w:val="auto"/>
              </w:rPr>
              <w:t>5,457</w:t>
            </w:r>
          </w:p>
        </w:tc>
        <w:tc>
          <w:tcPr>
            <w:tcW w:w="0" w:type="dxa"/>
            <w:vAlign w:val="bottom"/>
          </w:tcPr>
          <w:p>
            <w:pPr>
              <w:spacing w:after="0"/>
              <w:rPr>
                <w:sz w:val="1"/>
                <w:szCs w:val="1"/>
                <w:color w:val="auto"/>
              </w:rPr>
            </w:pPr>
          </w:p>
        </w:tc>
      </w:tr>
    </w:tbl>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Comparable Restaurant Sales Change</w:t>
      </w:r>
    </w:p>
    <w:p>
      <w:pPr>
        <w:spacing w:after="0" w:line="120" w:lineRule="exact"/>
        <w:rPr>
          <w:sz w:val="20"/>
          <w:szCs w:val="20"/>
          <w:color w:val="auto"/>
        </w:rPr>
      </w:pPr>
    </w:p>
    <w:p>
      <w:pPr>
        <w:ind w:right="200" w:firstLine="490"/>
        <w:spacing w:after="0" w:line="246" w:lineRule="auto"/>
        <w:rPr>
          <w:sz w:val="20"/>
          <w:szCs w:val="20"/>
          <w:color w:val="auto"/>
        </w:rPr>
      </w:pPr>
      <w:r>
        <w:rPr>
          <w:rFonts w:ascii="Times New Roman" w:cs="Times New Roman" w:eastAsia="Times New Roman" w:hAnsi="Times New Roman"/>
          <w:sz w:val="20"/>
          <w:szCs w:val="20"/>
          <w:color w:val="auto"/>
        </w:rPr>
        <w:t>Comparable restaurant sales change refers to the change in year-over-year sales for the comparable restaurant base. We include restaurants in the comparable restaurant base that have been in operation for at least 18 full months prior to the accounting period presented. Once a restaurant has been open 18 full months, it must have had continuous operations during both the current period and the prior year period being measured to remain a comparable restaurant. If operations were to be substantially impacted by unusual events that closed the location or significantly changed its capacity, that location is excluded from the comparable sales calculation until it has been operating continuously under normal conditions for both the current period and the prior year comparison period.</w:t>
      </w:r>
    </w:p>
    <w:p>
      <w:pPr>
        <w:spacing w:after="0" w:line="20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6"/>
          <w:szCs w:val="16"/>
          <w:b w:val="1"/>
          <w:bCs w:val="1"/>
          <w:color w:val="auto"/>
        </w:rPr>
        <w:t>Twelve months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3697605</wp:posOffset>
                </wp:positionH>
                <wp:positionV relativeFrom="paragraph">
                  <wp:posOffset>16510</wp:posOffset>
                </wp:positionV>
                <wp:extent cx="176276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6276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15pt,1.3pt" to="429.95pt,1.3pt" o:allowincell="f" strokecolor="#000000" strokeweight="0.75pt"/>
            </w:pict>
          </mc:Fallback>
        </mc:AlternateContent>
      </w:r>
    </w:p>
    <w:p>
      <w:pPr>
        <w:spacing w:after="0" w:line="17" w:lineRule="exact"/>
        <w:rPr>
          <w:sz w:val="20"/>
          <w:szCs w:val="20"/>
          <w:color w:val="auto"/>
        </w:rPr>
      </w:pPr>
    </w:p>
    <w:tbl>
      <w:tblPr>
        <w:tblLayout w:type="fixed"/>
        <w:tblInd w:w="460" w:type="dxa"/>
        <w:tblCellMar>
          <w:top w:w="0" w:type="dxa"/>
          <w:left w:w="0" w:type="dxa"/>
          <w:bottom w:w="0" w:type="dxa"/>
          <w:right w:w="0" w:type="dxa"/>
        </w:tblCellMar>
      </w:tblPr>
      <w:tr>
        <w:trPr>
          <w:trHeight w:val="196"/>
        </w:trPr>
        <w:tc>
          <w:tcPr>
            <w:tcW w:w="5220" w:type="dxa"/>
            <w:vAlign w:val="bottom"/>
            <w:tcBorders>
              <w:bottom w:val="single" w:sz="8" w:color="EAEAEA"/>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Pr>
          <w:p>
            <w:pPr>
              <w:spacing w:after="0"/>
              <w:rPr>
                <w:sz w:val="17"/>
                <w:szCs w:val="17"/>
                <w:color w:val="auto"/>
              </w:rPr>
            </w:pPr>
          </w:p>
        </w:tc>
      </w:tr>
      <w:tr>
        <w:trPr>
          <w:trHeight w:val="239"/>
        </w:trPr>
        <w:tc>
          <w:tcPr>
            <w:tcW w:w="52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Comparable restaurant sales change (%)</w:t>
            </w:r>
          </w:p>
        </w:tc>
        <w:tc>
          <w:tcPr>
            <w:tcW w:w="9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(7.9)%</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(5.6)%</w:t>
            </w:r>
          </w:p>
        </w:tc>
      </w:tr>
      <w:tr>
        <w:trPr>
          <w:trHeight w:val="266"/>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Comparable restaurant base</w:t>
            </w:r>
          </w:p>
        </w:tc>
        <w:tc>
          <w:tcPr>
            <w:tcW w:w="94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4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3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3605530</wp:posOffset>
                </wp:positionH>
                <wp:positionV relativeFrom="paragraph">
                  <wp:posOffset>-323215</wp:posOffset>
                </wp:positionV>
                <wp:extent cx="834390" cy="15494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4390" cy="154940"/>
                        </a:xfrm>
                        <a:prstGeom prst="rect">
                          <a:avLst/>
                        </a:prstGeom>
                        <a:solidFill>
                          <a:srgbClr val="EAEAEA"/>
                        </a:solidFill>
                      </wps:spPr>
                      <wps:bodyPr/>
                    </wps:wsp>
                  </a:graphicData>
                </a:graphic>
              </wp:anchor>
            </w:drawing>
          </mc:Choice>
          <mc:Fallback>
            <w:pict>
              <v:rect id="Shape 15" o:spid="_x0000_s1040" style="position:absolute;margin-left:283.9pt;margin-top:-25.4499pt;width:65.7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4439920</wp:posOffset>
                </wp:positionH>
                <wp:positionV relativeFrom="paragraph">
                  <wp:posOffset>-332740</wp:posOffset>
                </wp:positionV>
                <wp:extent cx="278130" cy="164465"/>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8130" cy="164465"/>
                        </a:xfrm>
                        <a:prstGeom prst="rect">
                          <a:avLst/>
                        </a:prstGeom>
                        <a:solidFill>
                          <a:srgbClr val="EAEAEA"/>
                        </a:solidFill>
                      </wps:spPr>
                      <wps:bodyPr/>
                    </wps:wsp>
                  </a:graphicData>
                </a:graphic>
              </wp:anchor>
            </w:drawing>
          </mc:Choice>
          <mc:Fallback>
            <w:pict>
              <v:rect id="Shape 16" o:spid="_x0000_s1041" style="position:absolute;margin-left:349.6pt;margin-top:-26.1999pt;width:21.9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4718050</wp:posOffset>
                </wp:positionH>
                <wp:positionV relativeFrom="paragraph">
                  <wp:posOffset>-323215</wp:posOffset>
                </wp:positionV>
                <wp:extent cx="742315" cy="15494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2315" cy="154940"/>
                        </a:xfrm>
                        <a:prstGeom prst="rect">
                          <a:avLst/>
                        </a:prstGeom>
                        <a:solidFill>
                          <a:srgbClr val="EAEAEA"/>
                        </a:solidFill>
                      </wps:spPr>
                      <wps:bodyPr/>
                    </wps:wsp>
                  </a:graphicData>
                </a:graphic>
              </wp:anchor>
            </w:drawing>
          </mc:Choice>
          <mc:Fallback>
            <w:pict>
              <v:rect id="Shape 17" o:spid="_x0000_s1042" style="position:absolute;margin-left:371.5pt;margin-top:-25.4499pt;width:58.4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w:r>
    </w:p>
    <w:p>
      <w:pPr>
        <w:spacing w:after="0" w:line="138" w:lineRule="exact"/>
        <w:rPr>
          <w:sz w:val="20"/>
          <w:szCs w:val="20"/>
          <w:color w:val="auto"/>
        </w:rPr>
      </w:pPr>
    </w:p>
    <w:p>
      <w:pPr>
        <w:jc w:val="both"/>
        <w:ind w:right="620" w:firstLine="490"/>
        <w:spacing w:after="0" w:line="277" w:lineRule="auto"/>
        <w:rPr>
          <w:sz w:val="20"/>
          <w:szCs w:val="20"/>
          <w:color w:val="auto"/>
        </w:rPr>
      </w:pPr>
      <w:r>
        <w:rPr>
          <w:rFonts w:ascii="Times New Roman" w:cs="Times New Roman" w:eastAsia="Times New Roman" w:hAnsi="Times New Roman"/>
          <w:sz w:val="20"/>
          <w:szCs w:val="20"/>
          <w:color w:val="auto"/>
        </w:rPr>
        <w:t>Since opening new restaurants is expected to be a significant component of our sales growth, comparable restaurant sales change is only one measure of how we evaluate our performance.</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540"/>
          </w:cols>
          <w:pgMar w:left="1260" w:top="1240" w:right="1440" w:bottom="355"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i w:val="1"/>
          <w:iCs w:val="1"/>
          <w:color w:val="auto"/>
        </w:rPr>
        <w:t>Number of Restaurant Openings</w:t>
      </w:r>
    </w:p>
    <w:p>
      <w:pPr>
        <w:spacing w:after="0" w:line="120" w:lineRule="exact"/>
        <w:rPr>
          <w:sz w:val="20"/>
          <w:szCs w:val="20"/>
          <w:color w:val="auto"/>
        </w:rPr>
      </w:pPr>
    </w:p>
    <w:p>
      <w:pPr>
        <w:ind w:right="260" w:firstLine="490"/>
        <w:spacing w:after="0" w:line="249" w:lineRule="auto"/>
        <w:rPr>
          <w:sz w:val="20"/>
          <w:szCs w:val="20"/>
          <w:color w:val="auto"/>
        </w:rPr>
      </w:pPr>
      <w:r>
        <w:rPr>
          <w:rFonts w:ascii="Times New Roman" w:cs="Times New Roman" w:eastAsia="Times New Roman" w:hAnsi="Times New Roman"/>
          <w:sz w:val="20"/>
          <w:szCs w:val="20"/>
          <w:color w:val="auto"/>
        </w:rPr>
        <w:t>The number of restaurant openings reflects the number of restaurants opened during a particular reporting period. Before we open new restaurants, we incur pre-opening costs. New restaurants may not be profitable, and their sales performance may not follow historical patterns. The number and timing of restaurant openings has had, and is expected to continue to have, an impact on our results of operations. The following table shows the change in our restaurant base for the years ended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3868420</wp:posOffset>
                </wp:positionH>
                <wp:positionV relativeFrom="paragraph">
                  <wp:posOffset>135255</wp:posOffset>
                </wp:positionV>
                <wp:extent cx="173672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367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6pt,10.65pt" to="441.35pt,10.65pt" o:allowincell="f" strokecolor="#000000" strokeweight="0.75pt"/>
            </w:pict>
          </mc:Fallback>
        </mc:AlternateContent>
      </w:r>
    </w:p>
    <w:p>
      <w:pPr>
        <w:spacing w:after="0" w:line="19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b w:val="1"/>
          <w:bCs w:val="1"/>
          <w:color w:val="auto"/>
        </w:rPr>
        <w:t>Twelve months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3868420</wp:posOffset>
                </wp:positionH>
                <wp:positionV relativeFrom="paragraph">
                  <wp:posOffset>16510</wp:posOffset>
                </wp:positionV>
                <wp:extent cx="173672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367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6pt,1.3pt" to="441.35pt,1.3pt" o:allowincell="f" strokecolor="#000000" strokeweight="0.75pt"/>
            </w:pict>
          </mc:Fallback>
        </mc:AlternateContent>
      </w:r>
    </w:p>
    <w:p>
      <w:pPr>
        <w:spacing w:after="0" w:line="17" w:lineRule="exact"/>
        <w:rPr>
          <w:sz w:val="20"/>
          <w:szCs w:val="20"/>
          <w:color w:val="auto"/>
        </w:rPr>
      </w:pPr>
    </w:p>
    <w:tbl>
      <w:tblPr>
        <w:tblLayout w:type="fixed"/>
        <w:tblInd w:w="460" w:type="dxa"/>
        <w:tblCellMar>
          <w:top w:w="0" w:type="dxa"/>
          <w:left w:w="0" w:type="dxa"/>
          <w:bottom w:w="0" w:type="dxa"/>
          <w:right w:w="0" w:type="dxa"/>
        </w:tblCellMar>
      </w:tblPr>
      <w:tr>
        <w:trPr>
          <w:trHeight w:val="196"/>
        </w:trPr>
        <w:tc>
          <w:tcPr>
            <w:tcW w:w="6620" w:type="dxa"/>
            <w:vAlign w:val="bottom"/>
            <w:gridSpan w:val="2"/>
          </w:tcPr>
          <w:p>
            <w:pPr>
              <w:ind w:left="6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3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r>
      <w:tr>
        <w:trPr>
          <w:trHeight w:val="239"/>
        </w:trPr>
        <w:tc>
          <w:tcPr>
            <w:tcW w:w="5640" w:type="dxa"/>
            <w:vAlign w:val="bottom"/>
            <w:tcBorders>
              <w:top w:val="single" w:sz="8" w:color="EAEAEA"/>
            </w:tcBorders>
            <w:shd w:val="clear" w:color="auto" w:fill="EAEAEA"/>
          </w:tcPr>
          <w:p>
            <w:pPr>
              <w:spacing w:after="0"/>
              <w:rPr>
                <w:sz w:val="20"/>
                <w:szCs w:val="20"/>
                <w:color w:val="auto"/>
              </w:rPr>
            </w:pPr>
            <w:r>
              <w:rPr>
                <w:rFonts w:ascii="Times New Roman" w:cs="Times New Roman" w:eastAsia="Times New Roman" w:hAnsi="Times New Roman"/>
                <w:sz w:val="20"/>
                <w:szCs w:val="20"/>
                <w:color w:val="auto"/>
              </w:rPr>
              <w:t>Restaurant activity</w:t>
            </w:r>
          </w:p>
        </w:tc>
        <w:tc>
          <w:tcPr>
            <w:tcW w:w="980" w:type="dxa"/>
            <w:vAlign w:val="bottom"/>
            <w:tcBorders>
              <w:top w:val="single" w:sz="8" w:color="auto"/>
            </w:tcBorders>
            <w:shd w:val="clear" w:color="auto" w:fill="EAEAEA"/>
          </w:tcPr>
          <w:p>
            <w:pPr>
              <w:spacing w:after="0"/>
              <w:rPr>
                <w:sz w:val="20"/>
                <w:szCs w:val="20"/>
                <w:color w:val="auto"/>
              </w:rPr>
            </w:pPr>
          </w:p>
        </w:tc>
        <w:tc>
          <w:tcPr>
            <w:tcW w:w="380" w:type="dxa"/>
            <w:vAlign w:val="bottom"/>
            <w:tcBorders>
              <w:top w:val="single" w:sz="8" w:color="auto"/>
            </w:tcBorders>
            <w:shd w:val="clear" w:color="auto" w:fill="EAEAEA"/>
          </w:tcPr>
          <w:p>
            <w:pPr>
              <w:spacing w:after="0"/>
              <w:rPr>
                <w:sz w:val="20"/>
                <w:szCs w:val="20"/>
                <w:color w:val="auto"/>
              </w:rPr>
            </w:pPr>
          </w:p>
        </w:tc>
        <w:tc>
          <w:tcPr>
            <w:tcW w:w="240" w:type="dxa"/>
            <w:vAlign w:val="bottom"/>
            <w:tcBorders>
              <w:top w:val="single" w:sz="8" w:color="EAEAEA"/>
            </w:tcBorders>
            <w:shd w:val="clear" w:color="auto" w:fill="EAEAEA"/>
          </w:tcPr>
          <w:p>
            <w:pPr>
              <w:spacing w:after="0"/>
              <w:rPr>
                <w:sz w:val="20"/>
                <w:szCs w:val="20"/>
                <w:color w:val="auto"/>
              </w:rPr>
            </w:pPr>
          </w:p>
        </w:tc>
        <w:tc>
          <w:tcPr>
            <w:tcW w:w="1120" w:type="dxa"/>
            <w:vAlign w:val="bottom"/>
            <w:tcBorders>
              <w:top w:val="single" w:sz="8" w:color="auto"/>
            </w:tcBorders>
            <w:shd w:val="clear" w:color="auto" w:fill="EAEAEA"/>
          </w:tcPr>
          <w:p>
            <w:pPr>
              <w:spacing w:after="0"/>
              <w:rPr>
                <w:sz w:val="20"/>
                <w:szCs w:val="20"/>
                <w:color w:val="auto"/>
              </w:rPr>
            </w:pPr>
          </w:p>
        </w:tc>
        <w:tc>
          <w:tcPr>
            <w:tcW w:w="80" w:type="dxa"/>
            <w:vAlign w:val="bottom"/>
            <w:tcBorders>
              <w:top w:val="single" w:sz="8" w:color="EAEAEA"/>
            </w:tcBorders>
            <w:shd w:val="clear" w:color="auto" w:fill="EAEAEA"/>
          </w:tcPr>
          <w:p>
            <w:pPr>
              <w:spacing w:after="0"/>
              <w:rPr>
                <w:sz w:val="20"/>
                <w:szCs w:val="20"/>
                <w:color w:val="auto"/>
              </w:rPr>
            </w:pPr>
          </w:p>
        </w:tc>
      </w:tr>
      <w:tr>
        <w:trPr>
          <w:trHeight w:val="244"/>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auto"/>
              </w:rPr>
              <w:t>Beginning of period</w:t>
            </w:r>
          </w:p>
        </w:tc>
        <w:tc>
          <w:tcPr>
            <w:tcW w:w="9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80" w:type="dxa"/>
            <w:vAlign w:val="bottom"/>
          </w:tcPr>
          <w:p>
            <w:pPr>
              <w:spacing w:after="0"/>
              <w:rPr>
                <w:sz w:val="21"/>
                <w:szCs w:val="21"/>
                <w:color w:val="auto"/>
              </w:rPr>
            </w:pPr>
          </w:p>
        </w:tc>
      </w:tr>
      <w:tr>
        <w:trPr>
          <w:trHeight w:val="244"/>
        </w:trPr>
        <w:tc>
          <w:tcPr>
            <w:tcW w:w="662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20"/>
                <w:szCs w:val="20"/>
                <w:color w:val="auto"/>
              </w:rPr>
              <w:t>Openings</w:t>
            </w:r>
          </w:p>
        </w:tc>
        <w:tc>
          <w:tcPr>
            <w:tcW w:w="3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40" w:type="dxa"/>
            <w:vAlign w:val="bottom"/>
            <w:shd w:val="clear" w:color="auto" w:fill="EAEAEA"/>
          </w:tcPr>
          <w:p>
            <w:pPr>
              <w:spacing w:after="0"/>
              <w:rPr>
                <w:sz w:val="21"/>
                <w:szCs w:val="21"/>
                <w:color w:val="auto"/>
              </w:rPr>
            </w:pPr>
          </w:p>
        </w:tc>
        <w:tc>
          <w:tcPr>
            <w:tcW w:w="11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shd w:val="clear" w:color="auto" w:fill="EAEAEA"/>
          </w:tcPr>
          <w:p>
            <w:pPr>
              <w:spacing w:after="0"/>
              <w:rPr>
                <w:sz w:val="21"/>
                <w:szCs w:val="21"/>
                <w:color w:val="auto"/>
              </w:rPr>
            </w:pPr>
          </w:p>
        </w:tc>
      </w:tr>
      <w:tr>
        <w:trPr>
          <w:trHeight w:val="244"/>
        </w:trPr>
        <w:tc>
          <w:tcPr>
            <w:tcW w:w="6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Closings</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r>
      <w:tr>
        <w:trPr>
          <w:trHeight w:val="239"/>
        </w:trPr>
        <w:tc>
          <w:tcPr>
            <w:tcW w:w="5640" w:type="dxa"/>
            <w:vAlign w:val="bottom"/>
            <w:tcBorders>
              <w:top w:val="single" w:sz="8" w:color="EAEAEA"/>
            </w:tcBorders>
            <w:shd w:val="clear" w:color="auto" w:fill="EAEAEA"/>
          </w:tcPr>
          <w:p>
            <w:pPr>
              <w:spacing w:after="0"/>
              <w:rPr>
                <w:sz w:val="20"/>
                <w:szCs w:val="20"/>
                <w:color w:val="auto"/>
              </w:rPr>
            </w:pPr>
            <w:r>
              <w:rPr>
                <w:rFonts w:ascii="Times New Roman" w:cs="Times New Roman" w:eastAsia="Times New Roman" w:hAnsi="Times New Roman"/>
                <w:sz w:val="20"/>
                <w:szCs w:val="20"/>
                <w:color w:val="auto"/>
              </w:rPr>
              <w:t>End of period</w:t>
            </w:r>
          </w:p>
        </w:tc>
        <w:tc>
          <w:tcPr>
            <w:tcW w:w="980" w:type="dxa"/>
            <w:vAlign w:val="bottom"/>
            <w:tcBorders>
              <w:top w:val="single" w:sz="8" w:color="auto"/>
            </w:tcBorders>
            <w:shd w:val="clear" w:color="auto" w:fill="EAEAEA"/>
          </w:tcPr>
          <w:p>
            <w:pPr>
              <w:spacing w:after="0"/>
              <w:rPr>
                <w:sz w:val="20"/>
                <w:szCs w:val="20"/>
                <w:color w:val="auto"/>
              </w:rPr>
            </w:pPr>
          </w:p>
        </w:tc>
        <w:tc>
          <w:tcPr>
            <w:tcW w:w="380" w:type="dxa"/>
            <w:vAlign w:val="bottom"/>
            <w:tcBorders>
              <w:top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240" w:type="dxa"/>
            <w:vAlign w:val="bottom"/>
            <w:tcBorders>
              <w:top w:val="single" w:sz="8" w:color="EAEAEA"/>
            </w:tcBorders>
            <w:shd w:val="clear" w:color="auto" w:fill="EAEAEA"/>
          </w:tcPr>
          <w:p>
            <w:pPr>
              <w:spacing w:after="0"/>
              <w:rPr>
                <w:sz w:val="20"/>
                <w:szCs w:val="20"/>
                <w:color w:val="auto"/>
              </w:rPr>
            </w:pPr>
          </w:p>
        </w:tc>
        <w:tc>
          <w:tcPr>
            <w:tcW w:w="1120" w:type="dxa"/>
            <w:vAlign w:val="bottom"/>
            <w:tcBorders>
              <w:top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80" w:type="dxa"/>
            <w:vAlign w:val="bottom"/>
            <w:tcBorders>
              <w:top w:val="single" w:sz="8" w:color="EAEAEA"/>
            </w:tcBorders>
            <w:shd w:val="clear" w:color="auto" w:fill="EAEAEA"/>
          </w:tcPr>
          <w:p>
            <w:pPr>
              <w:spacing w:after="0"/>
              <w:rPr>
                <w:sz w:val="20"/>
                <w:szCs w:val="20"/>
                <w:color w:val="auto"/>
              </w:rPr>
            </w:pPr>
          </w:p>
        </w:tc>
      </w:tr>
    </w:tbl>
    <w:p>
      <w:pPr>
        <w:spacing w:after="0" w:line="2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During 2026, we opened two new restaurants: in Tucson, Arizona and Denton, Texas.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Per Square Foot</w:t>
      </w:r>
    </w:p>
    <w:p>
      <w:pPr>
        <w:spacing w:after="0" w:line="120" w:lineRule="exact"/>
        <w:rPr>
          <w:sz w:val="20"/>
          <w:szCs w:val="20"/>
          <w:color w:val="auto"/>
        </w:rPr>
      </w:pPr>
    </w:p>
    <w:p>
      <w:pPr>
        <w:ind w:right="240" w:firstLine="490"/>
        <w:spacing w:after="0" w:line="249" w:lineRule="auto"/>
        <w:rPr>
          <w:sz w:val="20"/>
          <w:szCs w:val="20"/>
          <w:color w:val="auto"/>
        </w:rPr>
      </w:pPr>
      <w:r>
        <w:rPr>
          <w:rFonts w:ascii="Times New Roman" w:cs="Times New Roman" w:eastAsia="Times New Roman" w:hAnsi="Times New Roman"/>
          <w:sz w:val="20"/>
          <w:szCs w:val="20"/>
          <w:color w:val="auto"/>
        </w:rPr>
        <w:t>“Revenue per square foot” means the restaurant sales for all restaurants opened a full 18 months before the end of the 18 month period measured divided by the average square footage of such restaurants. This measurement allows management to assess the effectiveness of our approach to real estate selection and the overall performance of our restaurant base. The following table shows the revenue per square foot for the year ended December 31, 2025 and 2024:</w:t>
      </w:r>
    </w:p>
    <w:p>
      <w:pPr>
        <w:spacing w:after="0" w:line="186" w:lineRule="exact"/>
        <w:rPr>
          <w:sz w:val="20"/>
          <w:szCs w:val="20"/>
          <w:color w:val="auto"/>
        </w:rPr>
      </w:pPr>
    </w:p>
    <w:tbl>
      <w:tblPr>
        <w:tblLayout w:type="fixed"/>
        <w:tblInd w:w="460" w:type="dxa"/>
        <w:tblCellMar>
          <w:top w:w="0" w:type="dxa"/>
          <w:left w:w="0" w:type="dxa"/>
          <w:bottom w:w="0" w:type="dxa"/>
          <w:right w:w="0" w:type="dxa"/>
        </w:tblCellMar>
      </w:tblPr>
      <w:tr>
        <w:trPr>
          <w:trHeight w:val="199"/>
        </w:trPr>
        <w:tc>
          <w:tcPr>
            <w:tcW w:w="54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760" w:type="dxa"/>
            <w:vAlign w:val="bottom"/>
            <w:tcBorders>
              <w:top w:val="single" w:sz="8" w:color="auto"/>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Twelve months ended December 31,</w:t>
            </w:r>
          </w:p>
        </w:tc>
        <w:tc>
          <w:tcPr>
            <w:tcW w:w="80" w:type="dxa"/>
            <w:vAlign w:val="bottom"/>
          </w:tcPr>
          <w:p>
            <w:pPr>
              <w:spacing w:after="0"/>
              <w:rPr>
                <w:sz w:val="17"/>
                <w:szCs w:val="17"/>
                <w:color w:val="auto"/>
              </w:rPr>
            </w:pPr>
          </w:p>
        </w:tc>
      </w:tr>
      <w:tr>
        <w:trPr>
          <w:trHeight w:val="179"/>
        </w:trPr>
        <w:tc>
          <w:tcPr>
            <w:tcW w:w="5420" w:type="dxa"/>
            <w:vAlign w:val="bottom"/>
            <w:tcBorders>
              <w:bottom w:val="single" w:sz="8" w:color="EAEAEA"/>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3"/>
              <w:spacing w:after="0" w:line="179" w:lineRule="exact"/>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EAEAEA"/>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0"/>
              <w:spacing w:after="0" w:line="179"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AEAEA"/>
            </w:tcBorders>
          </w:tcPr>
          <w:p>
            <w:pPr>
              <w:spacing w:after="0"/>
              <w:rPr>
                <w:sz w:val="15"/>
                <w:szCs w:val="15"/>
                <w:color w:val="auto"/>
              </w:rPr>
            </w:pPr>
          </w:p>
        </w:tc>
      </w:tr>
      <w:tr>
        <w:trPr>
          <w:trHeight w:val="225"/>
        </w:trPr>
        <w:tc>
          <w:tcPr>
            <w:tcW w:w="5420" w:type="dxa"/>
            <w:vAlign w:val="bottom"/>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Revenue per square foot</w:t>
            </w:r>
          </w:p>
        </w:tc>
        <w:tc>
          <w:tcPr>
            <w:tcW w:w="180" w:type="dxa"/>
            <w:vAlign w:val="bottom"/>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718</w:t>
            </w:r>
          </w:p>
        </w:tc>
        <w:tc>
          <w:tcPr>
            <w:tcW w:w="240" w:type="dxa"/>
            <w:vAlign w:val="bottom"/>
            <w:shd w:val="clear" w:color="auto" w:fill="EAEAEA"/>
          </w:tcPr>
          <w:p>
            <w:pPr>
              <w:spacing w:after="0"/>
              <w:rPr>
                <w:sz w:val="19"/>
                <w:szCs w:val="19"/>
                <w:color w:val="auto"/>
              </w:rPr>
            </w:pPr>
          </w:p>
        </w:tc>
        <w:tc>
          <w:tcPr>
            <w:tcW w:w="300" w:type="dxa"/>
            <w:vAlign w:val="bottom"/>
            <w:shd w:val="clear" w:color="auto" w:fill="EAEAEA"/>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801</w:t>
            </w:r>
          </w:p>
        </w:tc>
        <w:tc>
          <w:tcPr>
            <w:tcW w:w="80" w:type="dxa"/>
            <w:vAlign w:val="bottom"/>
            <w:shd w:val="clear" w:color="auto" w:fill="EAEAEA"/>
          </w:tcPr>
          <w:p>
            <w:pPr>
              <w:spacing w:after="0"/>
              <w:rPr>
                <w:sz w:val="19"/>
                <w:szCs w:val="19"/>
                <w:color w:val="auto"/>
              </w:rPr>
            </w:pPr>
          </w:p>
        </w:tc>
      </w:tr>
    </w:tbl>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Results of Operations</w:t>
      </w:r>
    </w:p>
    <w:p>
      <w:pPr>
        <w:spacing w:after="0" w:line="124" w:lineRule="exact"/>
        <w:rPr>
          <w:sz w:val="20"/>
          <w:szCs w:val="20"/>
          <w:color w:val="auto"/>
        </w:rPr>
      </w:pPr>
    </w:p>
    <w:p>
      <w:pPr>
        <w:jc w:val="both"/>
        <w:ind w:right="320" w:firstLine="49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Revenues. </w:t>
      </w:r>
      <w:r>
        <w:rPr>
          <w:rFonts w:ascii="Times New Roman" w:cs="Times New Roman" w:eastAsia="Times New Roman" w:hAnsi="Times New Roman"/>
          <w:sz w:val="20"/>
          <w:szCs w:val="20"/>
          <w:color w:val="auto"/>
        </w:rPr>
        <w:t>Revenues represent sales of food and beverages in restaurants and, to a minor extent, through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online portal. Restaurant revenues in a given period are directly impacted by the number of restaurants we operate, menu pricing, the number of customers visiting and comparable restaurant sales change. Revenue also includes gift card revenue earned, and revenue earned through retail or wholesale distribution.</w:t>
      </w:r>
    </w:p>
    <w:p>
      <w:pPr>
        <w:spacing w:after="0" w:line="194" w:lineRule="exact"/>
        <w:rPr>
          <w:sz w:val="20"/>
          <w:szCs w:val="20"/>
          <w:color w:val="auto"/>
        </w:rPr>
      </w:pPr>
    </w:p>
    <w:p>
      <w:pPr>
        <w:ind w:right="320" w:firstLine="49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Food costs. </w:t>
      </w:r>
      <w:r>
        <w:rPr>
          <w:rFonts w:ascii="Times New Roman" w:cs="Times New Roman" w:eastAsia="Times New Roman" w:hAnsi="Times New Roman"/>
          <w:sz w:val="20"/>
          <w:szCs w:val="20"/>
          <w:color w:val="auto"/>
        </w:rPr>
        <w:t>Food costs are variable in nature, change with sales volume and are influenced by menu mix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subject to increases or decreases based upon fluctuations in commodity costs. Another important factor causing fluctuations in food costs includes restaurant management of food waste. Food costs are a substantial expense and are expected to grow proportionally as our sales grow.</w:t>
      </w:r>
    </w:p>
    <w:p>
      <w:pPr>
        <w:spacing w:after="0" w:line="194" w:lineRule="exact"/>
        <w:rPr>
          <w:sz w:val="20"/>
          <w:szCs w:val="20"/>
          <w:color w:val="auto"/>
        </w:rPr>
      </w:pPr>
    </w:p>
    <w:p>
      <w:pPr>
        <w:ind w:right="220" w:firstLine="49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Payroll and benefits. </w:t>
      </w:r>
      <w:r>
        <w:rPr>
          <w:rFonts w:ascii="Times New Roman" w:cs="Times New Roman" w:eastAsia="Times New Roman" w:hAnsi="Times New Roman"/>
          <w:sz w:val="20"/>
          <w:szCs w:val="20"/>
          <w:color w:val="auto"/>
        </w:rPr>
        <w:t>Payroll and benefits include all restaurant-level management and hourly labor costs,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including wages, employee benefits and payroll taxes. Similar to the food costs that we incur, labor and related expenses at our restaurants are expected to grow proportionally as our sales grow. Factors that influence fluctuations in our labor and related expenses include the volume of sales at our restaurants, minimum wage and payroll tax legislation, payroll rate increases due to labor shortages or inflationary pressures, the frequency and severity of workers’ compensation claims, and healthcare costs.</w:t>
      </w:r>
    </w:p>
    <w:p>
      <w:pPr>
        <w:spacing w:after="0" w:line="200" w:lineRule="exact"/>
        <w:rPr>
          <w:sz w:val="20"/>
          <w:szCs w:val="20"/>
          <w:color w:val="auto"/>
        </w:rPr>
      </w:pPr>
    </w:p>
    <w:p>
      <w:pPr>
        <w:ind w:right="100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 xml:space="preserve">Occupancy expenses. </w:t>
      </w:r>
      <w:r>
        <w:rPr>
          <w:rFonts w:ascii="Times New Roman" w:cs="Times New Roman" w:eastAsia="Times New Roman" w:hAnsi="Times New Roman"/>
          <w:sz w:val="20"/>
          <w:szCs w:val="20"/>
          <w:color w:val="auto"/>
        </w:rPr>
        <w:t>Occupancy expenses include rent, common area maintenance and taxes for all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restaurant locations, but exclude any related pre-opening costs.</w:t>
      </w:r>
    </w:p>
    <w:p>
      <w:pPr>
        <w:spacing w:after="0" w:line="169" w:lineRule="exact"/>
        <w:rPr>
          <w:sz w:val="20"/>
          <w:szCs w:val="20"/>
          <w:color w:val="auto"/>
        </w:rPr>
      </w:pPr>
    </w:p>
    <w:p>
      <w:pPr>
        <w:ind w:right="38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Operating expenses</w:t>
      </w:r>
      <w:r>
        <w:rPr>
          <w:rFonts w:ascii="Times New Roman" w:cs="Times New Roman" w:eastAsia="Times New Roman" w:hAnsi="Times New Roman"/>
          <w:sz w:val="20"/>
          <w:szCs w:val="20"/>
          <w:color w:val="auto"/>
        </w:rPr>
        <w:t>. Operating expenses include supplies, utilities, repairs and maintenance, and other costs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incurred directly at the restaurant level.</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540"/>
          </w:cols>
          <w:pgMar w:left="1260" w:top="1240" w:right="1440" w:bottom="355" w:gutter="0" w:footer="0" w:header="0"/>
          <w:type w:val="continuous"/>
        </w:sectPr>
      </w:pPr>
    </w:p>
    <w:bookmarkStart w:id="48" w:name="page49"/>
    <w:bookmarkEnd w:id="48"/>
    <w:p>
      <w:pPr>
        <w:ind w:right="240" w:firstLine="49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Depreciation and amortization expenses</w:t>
      </w:r>
      <w:r>
        <w:rPr>
          <w:rFonts w:ascii="Times New Roman" w:cs="Times New Roman" w:eastAsia="Times New Roman" w:hAnsi="Times New Roman"/>
          <w:sz w:val="20"/>
          <w:szCs w:val="20"/>
          <w:color w:val="auto"/>
        </w:rPr>
        <w:t>. Depreciation and amortization expenses are periodic non-cash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charges at our restaurants that consist of depreciation of fixed assets, including equipment, software and capitalized leasehold improvements. Depreciation is determined using the straight-line method over the assets’ estimated useful lives, ranging from five to ten years.</w:t>
      </w:r>
    </w:p>
    <w:p>
      <w:pPr>
        <w:spacing w:after="0" w:line="194" w:lineRule="exact"/>
        <w:rPr>
          <w:sz w:val="20"/>
          <w:szCs w:val="20"/>
          <w:color w:val="auto"/>
        </w:rPr>
      </w:pPr>
    </w:p>
    <w:p>
      <w:pPr>
        <w:ind w:right="300" w:firstLine="49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Pre-opening costs. </w:t>
      </w:r>
      <w:r>
        <w:rPr>
          <w:rFonts w:ascii="Times New Roman" w:cs="Times New Roman" w:eastAsia="Times New Roman" w:hAnsi="Times New Roman"/>
          <w:sz w:val="20"/>
          <w:szCs w:val="20"/>
          <w:color w:val="auto"/>
        </w:rPr>
        <w:t>Pre-opening costs include pre-opening period rent, maintenance, taxes, payroll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benefits costs, advertising and other expenses directly incurred by the new restaurant until the date of the restaurant opening. Pre-opening costs can fluctuate significantly from period to period, based on the number and timing of restaurant openings.</w:t>
      </w:r>
    </w:p>
    <w:p>
      <w:pPr>
        <w:spacing w:after="0" w:line="194" w:lineRule="exact"/>
        <w:rPr>
          <w:sz w:val="20"/>
          <w:szCs w:val="20"/>
          <w:color w:val="auto"/>
        </w:rPr>
      </w:pPr>
    </w:p>
    <w:p>
      <w:pPr>
        <w:ind w:right="280" w:firstLine="49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General and administrative expenses. </w:t>
      </w:r>
      <w:r>
        <w:rPr>
          <w:rFonts w:ascii="Times New Roman" w:cs="Times New Roman" w:eastAsia="Times New Roman" w:hAnsi="Times New Roman"/>
          <w:sz w:val="20"/>
          <w:szCs w:val="20"/>
          <w:color w:val="auto"/>
        </w:rPr>
        <w:t>General and administrative expenses include expenses associated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corporate management supervisory functions that support the operations of existing restaurants and development of new restaurants, including compensation and benefits, stock-based compensation, travel expenses, legal and professional fees, marketing costs, information systems, corporate office rent and other related corporate costs. General and administrative expenses are expected to grow as our sales grow, including incremental legal, accounting, insurance and other expenses incurred as a public company including becoming compliant with the requirements of Sarbanes-Oxley and addressing our internal control weaknesses through implementing new accounting systems and hiring additional staff.</w:t>
      </w:r>
    </w:p>
    <w:p>
      <w:pPr>
        <w:spacing w:after="0" w:line="202" w:lineRule="exact"/>
        <w:rPr>
          <w:sz w:val="20"/>
          <w:szCs w:val="20"/>
          <w:color w:val="auto"/>
        </w:rPr>
      </w:pPr>
    </w:p>
    <w:p>
      <w:pPr>
        <w:ind w:right="46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 xml:space="preserve">Gain on lease termination. </w:t>
      </w:r>
      <w:r>
        <w:rPr>
          <w:rFonts w:ascii="Times New Roman" w:cs="Times New Roman" w:eastAsia="Times New Roman" w:hAnsi="Times New Roman"/>
          <w:sz w:val="20"/>
          <w:szCs w:val="20"/>
          <w:color w:val="auto"/>
        </w:rPr>
        <w:t>During the third quarter of 2025, we recorded lease termination income of $0.5</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million related to the closure of one restaurant.</w:t>
      </w:r>
    </w:p>
    <w:p>
      <w:pPr>
        <w:spacing w:after="0" w:line="169" w:lineRule="exact"/>
        <w:rPr>
          <w:sz w:val="20"/>
          <w:szCs w:val="20"/>
          <w:color w:val="auto"/>
        </w:rPr>
      </w:pPr>
    </w:p>
    <w:p>
      <w:pPr>
        <w:ind w:right="260" w:firstLine="49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Depreciation and amortization - corporate. </w:t>
      </w:r>
      <w:r>
        <w:rPr>
          <w:rFonts w:ascii="Times New Roman" w:cs="Times New Roman" w:eastAsia="Times New Roman" w:hAnsi="Times New Roman"/>
          <w:sz w:val="20"/>
          <w:szCs w:val="20"/>
          <w:color w:val="auto"/>
        </w:rPr>
        <w:t>These are periodic non-cash charges at the corporate level that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consist of depreciation of fixed assets, including equipment, information systems software and capitalized leasehold improvements, if any. Depreciation is determined using the straight-line method over the assets’ estimated useful lives, ranging from five to seven years.</w:t>
      </w:r>
    </w:p>
    <w:p>
      <w:pPr>
        <w:spacing w:after="0" w:line="190" w:lineRule="exact"/>
        <w:rPr>
          <w:sz w:val="20"/>
          <w:szCs w:val="20"/>
          <w:color w:val="auto"/>
        </w:rPr>
      </w:pPr>
    </w:p>
    <w:p>
      <w:pPr>
        <w:ind w:right="320" w:firstLine="49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Employee retention credits</w:t>
      </w:r>
      <w:r>
        <w:rPr>
          <w:rFonts w:ascii="Times New Roman" w:cs="Times New Roman" w:eastAsia="Times New Roman" w:hAnsi="Times New Roman"/>
          <w:sz w:val="20"/>
          <w:szCs w:val="20"/>
          <w:color w:val="auto"/>
        </w:rPr>
        <w:t>. Employee retention credits include refundable credits recognized under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provisions of the CARES Act and extension thereof. During the year ended December 31, 2025, and December 31, 2024, $0.3 million and $0.2 million, respectively, of these credits were received and recorded.</w:t>
      </w:r>
    </w:p>
    <w:p>
      <w:pPr>
        <w:spacing w:after="0" w:line="186" w:lineRule="exact"/>
        <w:rPr>
          <w:sz w:val="20"/>
          <w:szCs w:val="20"/>
          <w:color w:val="auto"/>
        </w:rPr>
      </w:pPr>
    </w:p>
    <w:p>
      <w:pPr>
        <w:ind w:right="340" w:firstLine="49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Impairment expense. </w:t>
      </w:r>
      <w:r>
        <w:rPr>
          <w:rFonts w:ascii="Times New Roman" w:cs="Times New Roman" w:eastAsia="Times New Roman" w:hAnsi="Times New Roman"/>
          <w:sz w:val="20"/>
          <w:szCs w:val="20"/>
          <w:color w:val="auto"/>
        </w:rPr>
        <w:t>During the fourth quarter of 2025, we determined that fixed assets at the restaurant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level were impaired and we recorded an impairment expense as it was determined that the fair value of these assets was less than the carrying value.</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Loss on foreign currency. </w:t>
      </w:r>
      <w:r>
        <w:rPr>
          <w:rFonts w:ascii="Times New Roman" w:cs="Times New Roman" w:eastAsia="Times New Roman" w:hAnsi="Times New Roman"/>
          <w:sz w:val="20"/>
          <w:szCs w:val="20"/>
          <w:color w:val="auto"/>
        </w:rPr>
        <w:t>Represents the foreign currency transaction losses in South Korea.</w:t>
      </w:r>
    </w:p>
    <w:p>
      <w:pPr>
        <w:spacing w:after="0" w:line="235" w:lineRule="exact"/>
        <w:rPr>
          <w:sz w:val="20"/>
          <w:szCs w:val="20"/>
          <w:color w:val="auto"/>
        </w:rPr>
      </w:pPr>
    </w:p>
    <w:p>
      <w:pPr>
        <w:ind w:right="740" w:firstLine="49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Gain on remeasurement of previously held interest. </w:t>
      </w:r>
      <w:r>
        <w:rPr>
          <w:rFonts w:ascii="Times New Roman" w:cs="Times New Roman" w:eastAsia="Times New Roman" w:hAnsi="Times New Roman"/>
          <w:sz w:val="20"/>
          <w:szCs w:val="20"/>
          <w:color w:val="auto"/>
        </w:rPr>
        <w:t>This reflects the business acquisition of GKBH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restaurant in Hawaii) during the first quarter of 2024.</w:t>
      </w:r>
    </w:p>
    <w:p>
      <w:pPr>
        <w:spacing w:after="0" w:line="168" w:lineRule="exact"/>
        <w:rPr>
          <w:sz w:val="20"/>
          <w:szCs w:val="20"/>
          <w:color w:val="auto"/>
        </w:rPr>
      </w:pPr>
    </w:p>
    <w:p>
      <w:pPr>
        <w:ind w:right="540" w:firstLine="49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Impairment reserve. </w:t>
      </w:r>
      <w:r>
        <w:rPr>
          <w:rFonts w:ascii="Times New Roman" w:cs="Times New Roman" w:eastAsia="Times New Roman" w:hAnsi="Times New Roman"/>
          <w:sz w:val="20"/>
          <w:szCs w:val="20"/>
          <w:color w:val="auto"/>
        </w:rPr>
        <w:t>During the fourth quarter of 2025, we recorded an impairment reserve in connection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with the transfer of five stores to a third party in exchange for a 49% equity interest.</w:t>
      </w:r>
    </w:p>
    <w:p>
      <w:pPr>
        <w:spacing w:after="0" w:line="168" w:lineRule="exact"/>
        <w:rPr>
          <w:sz w:val="20"/>
          <w:szCs w:val="20"/>
          <w:color w:val="auto"/>
        </w:rPr>
      </w:pPr>
    </w:p>
    <w:p>
      <w:pPr>
        <w:ind w:right="780" w:firstLine="49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income (expense), net. </w:t>
      </w:r>
      <w:r>
        <w:rPr>
          <w:rFonts w:ascii="Times New Roman" w:cs="Times New Roman" w:eastAsia="Times New Roman" w:hAnsi="Times New Roman"/>
          <w:sz w:val="20"/>
          <w:szCs w:val="20"/>
          <w:color w:val="auto"/>
        </w:rPr>
        <w:t>Interest expense includes cash and non-cash charges related to our debt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outstanding and finance lease obligations. Interest income reflects income earned on cash balances.</w:t>
      </w:r>
    </w:p>
    <w:p>
      <w:pPr>
        <w:spacing w:after="0" w:line="168" w:lineRule="exact"/>
        <w:rPr>
          <w:sz w:val="20"/>
          <w:szCs w:val="20"/>
          <w:color w:val="auto"/>
        </w:rPr>
      </w:pPr>
    </w:p>
    <w:p>
      <w:pPr>
        <w:ind w:right="480" w:firstLine="49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Equity in loss of equity method investee. </w:t>
      </w:r>
      <w:r>
        <w:rPr>
          <w:rFonts w:ascii="Times New Roman" w:cs="Times New Roman" w:eastAsia="Times New Roman" w:hAnsi="Times New Roman"/>
          <w:sz w:val="20"/>
          <w:szCs w:val="20"/>
          <w:color w:val="auto"/>
        </w:rPr>
        <w:t>Equity in loss of equity method investee reflected our 50%</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ownership in GKBH that was accounted for using the equity method until the date of acquisition on February 18, 2024.</w:t>
      </w:r>
    </w:p>
    <w:p>
      <w:pPr>
        <w:spacing w:after="0" w:line="186" w:lineRule="exact"/>
        <w:rPr>
          <w:sz w:val="20"/>
          <w:szCs w:val="20"/>
          <w:color w:val="auto"/>
        </w:rPr>
      </w:pPr>
    </w:p>
    <w:p>
      <w:pPr>
        <w:ind w:right="500" w:firstLine="49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(Benefit) provision for income taxes. </w:t>
      </w:r>
      <w:r>
        <w:rPr>
          <w:rFonts w:ascii="Times New Roman" w:cs="Times New Roman" w:eastAsia="Times New Roman" w:hAnsi="Times New Roman"/>
          <w:sz w:val="20"/>
          <w:szCs w:val="20"/>
          <w:color w:val="auto"/>
        </w:rPr>
        <w:t>Represents federal, state, and local current and deferred income tax</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expense (benefit).</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540"/>
          </w:cols>
          <w:pgMar w:left="1260" w:top="1240" w:right="1440" w:bottom="355"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color w:val="auto"/>
        </w:rPr>
        <w:t>Results of Operations for the Years Ended December 31, 2025 and December 31, 2024</w:t>
      </w:r>
    </w:p>
    <w:p>
      <w:pPr>
        <w:spacing w:after="0" w:line="119" w:lineRule="exact"/>
        <w:rPr>
          <w:sz w:val="20"/>
          <w:szCs w:val="20"/>
          <w:color w:val="auto"/>
        </w:rPr>
      </w:pPr>
    </w:p>
    <w:p>
      <w:pPr>
        <w:ind w:right="320" w:firstLine="490"/>
        <w:spacing w:after="0" w:line="254" w:lineRule="auto"/>
        <w:rPr>
          <w:sz w:val="20"/>
          <w:szCs w:val="20"/>
          <w:color w:val="auto"/>
        </w:rPr>
      </w:pPr>
      <w:r>
        <w:rPr>
          <w:rFonts w:ascii="Times New Roman" w:cs="Times New Roman" w:eastAsia="Times New Roman" w:hAnsi="Times New Roman"/>
          <w:sz w:val="20"/>
          <w:szCs w:val="20"/>
          <w:color w:val="auto"/>
        </w:rPr>
        <w:t>The following table presents selected comparative results of operations from our audited financial statements for the year ended December 31, 2025 and December 31, 2024. Our financial results for these periods are not necessarily indicative of the financial results that we will achieve in future periods.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 amounts in thousands)</w:t>
            </w:r>
          </w:p>
        </w:tc>
        <w:tc>
          <w:tcPr>
            <w:tcW w:w="140" w:type="dxa"/>
            <w:vAlign w:val="bottom"/>
          </w:tcPr>
          <w:p>
            <w:pPr>
              <w:spacing w:after="0"/>
              <w:rPr>
                <w:sz w:val="17"/>
                <w:szCs w:val="17"/>
                <w:color w:val="auto"/>
              </w:rPr>
            </w:pPr>
          </w:p>
        </w:tc>
        <w:tc>
          <w:tcPr>
            <w:tcW w:w="2160" w:type="dxa"/>
            <w:vAlign w:val="bottom"/>
            <w:gridSpan w:val="5"/>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4"/>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Increase/(Decrease)</w:t>
            </w:r>
          </w:p>
        </w:tc>
        <w:tc>
          <w:tcPr>
            <w:tcW w:w="0" w:type="dxa"/>
            <w:vAlign w:val="bottom"/>
          </w:tcPr>
          <w:p>
            <w:pPr>
              <w:spacing w:after="0"/>
              <w:rPr>
                <w:sz w:val="1"/>
                <w:szCs w:val="1"/>
                <w:color w:val="auto"/>
              </w:rPr>
            </w:pPr>
          </w:p>
        </w:tc>
      </w:tr>
      <w:tr>
        <w:trPr>
          <w:trHeight w:val="193"/>
        </w:trPr>
        <w:tc>
          <w:tcPr>
            <w:tcW w:w="468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6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6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Revenue</w:t>
            </w:r>
          </w:p>
        </w:tc>
        <w:tc>
          <w:tcPr>
            <w:tcW w:w="1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212,541</w:t>
            </w:r>
          </w:p>
        </w:tc>
        <w:tc>
          <w:tcPr>
            <w:tcW w:w="200" w:type="dxa"/>
            <w:vAlign w:val="bottom"/>
            <w:shd w:val="clear" w:color="auto" w:fill="EAEAEA"/>
          </w:tcPr>
          <w:p>
            <w:pPr>
              <w:spacing w:after="0"/>
              <w:rPr>
                <w:sz w:val="21"/>
                <w:szCs w:val="21"/>
                <w:color w:val="auto"/>
              </w:rPr>
            </w:pPr>
          </w:p>
        </w:tc>
        <w:tc>
          <w:tcPr>
            <w:tcW w:w="220" w:type="dxa"/>
            <w:vAlign w:val="bottom"/>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208,380</w:t>
            </w:r>
          </w:p>
        </w:tc>
        <w:tc>
          <w:tcPr>
            <w:tcW w:w="120" w:type="dxa"/>
            <w:vAlign w:val="bottom"/>
            <w:shd w:val="clear" w:color="auto" w:fill="EAEAEA"/>
          </w:tcPr>
          <w:p>
            <w:pPr>
              <w:spacing w:after="0"/>
              <w:rPr>
                <w:sz w:val="21"/>
                <w:szCs w:val="21"/>
                <w:color w:val="auto"/>
              </w:rPr>
            </w:pPr>
          </w:p>
        </w:tc>
        <w:tc>
          <w:tcPr>
            <w:tcW w:w="220" w:type="dxa"/>
            <w:vAlign w:val="bottom"/>
            <w:gridSpan w:val="2"/>
            <w:shd w:val="clear" w:color="auto" w:fill="EAEAEA"/>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4,161</w:t>
            </w:r>
          </w:p>
        </w:tc>
        <w:tc>
          <w:tcPr>
            <w:tcW w:w="200" w:type="dxa"/>
            <w:vAlign w:val="bottom"/>
            <w:shd w:val="clear" w:color="auto" w:fill="EAEAEA"/>
          </w:tcPr>
          <w:p>
            <w:pPr>
              <w:spacing w:after="0"/>
              <w:rPr>
                <w:sz w:val="21"/>
                <w:szCs w:val="21"/>
                <w:color w:val="auto"/>
              </w:rPr>
            </w:pPr>
          </w:p>
        </w:tc>
        <w:tc>
          <w:tcPr>
            <w:tcW w:w="1120" w:type="dxa"/>
            <w:vAlign w:val="bottom"/>
            <w:gridSpan w:val="2"/>
            <w:shd w:val="clear" w:color="auto" w:fill="EAEAEA"/>
          </w:tcPr>
          <w:p>
            <w:pPr>
              <w:jc w:val="right"/>
              <w:ind w:right="120"/>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244"/>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Restaurant operating expenses:</w:t>
            </w: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68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Food cost</w:t>
            </w:r>
          </w:p>
        </w:tc>
        <w:tc>
          <w:tcPr>
            <w:tcW w:w="140" w:type="dxa"/>
            <w:vAlign w:val="bottom"/>
            <w:shd w:val="clear" w:color="auto" w:fill="EAEAEA"/>
          </w:tcPr>
          <w:p>
            <w:pPr>
              <w:spacing w:after="0"/>
              <w:rPr>
                <w:sz w:val="21"/>
                <w:szCs w:val="21"/>
                <w:color w:val="auto"/>
              </w:rPr>
            </w:pPr>
          </w:p>
        </w:tc>
        <w:tc>
          <w:tcPr>
            <w:tcW w:w="8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73,790</w:t>
            </w:r>
          </w:p>
        </w:tc>
        <w:tc>
          <w:tcPr>
            <w:tcW w:w="200" w:type="dxa"/>
            <w:vAlign w:val="bottom"/>
            <w:shd w:val="clear" w:color="auto" w:fill="EAEAEA"/>
          </w:tcPr>
          <w:p>
            <w:pPr>
              <w:spacing w:after="0"/>
              <w:rPr>
                <w:sz w:val="21"/>
                <w:szCs w:val="21"/>
                <w:color w:val="auto"/>
              </w:rPr>
            </w:pPr>
          </w:p>
        </w:tc>
        <w:tc>
          <w:tcPr>
            <w:tcW w:w="220" w:type="dxa"/>
            <w:vAlign w:val="bottom"/>
            <w:shd w:val="clear" w:color="auto" w:fill="EAEAEA"/>
          </w:tcPr>
          <w:p>
            <w:pPr>
              <w:spacing w:after="0"/>
              <w:rPr>
                <w:sz w:val="21"/>
                <w:szCs w:val="21"/>
                <w:color w:val="auto"/>
              </w:rPr>
            </w:pPr>
          </w:p>
        </w:tc>
        <w:tc>
          <w:tcPr>
            <w:tcW w:w="7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68,730</w:t>
            </w:r>
          </w:p>
        </w:tc>
        <w:tc>
          <w:tcPr>
            <w:tcW w:w="12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8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5,060</w:t>
            </w:r>
          </w:p>
        </w:tc>
        <w:tc>
          <w:tcPr>
            <w:tcW w:w="200" w:type="dxa"/>
            <w:vAlign w:val="bottom"/>
            <w:shd w:val="clear" w:color="auto" w:fill="EAEAEA"/>
          </w:tcPr>
          <w:p>
            <w:pPr>
              <w:spacing w:after="0"/>
              <w:rPr>
                <w:sz w:val="21"/>
                <w:szCs w:val="21"/>
                <w:color w:val="auto"/>
              </w:rPr>
            </w:pPr>
          </w:p>
        </w:tc>
        <w:tc>
          <w:tcPr>
            <w:tcW w:w="1120" w:type="dxa"/>
            <w:vAlign w:val="bottom"/>
            <w:gridSpan w:val="2"/>
            <w:shd w:val="clear" w:color="auto" w:fill="EAEAEA"/>
          </w:tcPr>
          <w:p>
            <w:pPr>
              <w:jc w:val="right"/>
              <w:ind w:right="120"/>
              <w:spacing w:after="0"/>
              <w:rPr>
                <w:sz w:val="20"/>
                <w:szCs w:val="20"/>
                <w:color w:val="auto"/>
              </w:rPr>
            </w:pPr>
            <w:r>
              <w:rPr>
                <w:rFonts w:ascii="Times New Roman" w:cs="Times New Roman" w:eastAsia="Times New Roman" w:hAnsi="Times New Roman"/>
                <w:sz w:val="20"/>
                <w:szCs w:val="20"/>
                <w:color w:val="auto"/>
              </w:rPr>
              <w:t>7.4%</w:t>
            </w:r>
          </w:p>
        </w:tc>
        <w:tc>
          <w:tcPr>
            <w:tcW w:w="0" w:type="dxa"/>
            <w:vAlign w:val="bottom"/>
          </w:tcPr>
          <w:p>
            <w:pPr>
              <w:spacing w:after="0"/>
              <w:rPr>
                <w:sz w:val="1"/>
                <w:szCs w:val="1"/>
                <w:color w:val="auto"/>
              </w:rPr>
            </w:pPr>
          </w:p>
        </w:tc>
      </w:tr>
      <w:tr>
        <w:trPr>
          <w:trHeight w:val="244"/>
        </w:trPr>
        <w:tc>
          <w:tcPr>
            <w:tcW w:w="4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Payroll and benefits</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64,943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64,322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w:t>
            </w:r>
          </w:p>
        </w:tc>
        <w:tc>
          <w:tcPr>
            <w:tcW w:w="2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44"/>
        </w:trPr>
        <w:tc>
          <w:tcPr>
            <w:tcW w:w="468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Occupancy expenses</w:t>
            </w:r>
          </w:p>
        </w:tc>
        <w:tc>
          <w:tcPr>
            <w:tcW w:w="140" w:type="dxa"/>
            <w:vAlign w:val="bottom"/>
            <w:shd w:val="clear" w:color="auto" w:fill="EAEAEA"/>
          </w:tcPr>
          <w:p>
            <w:pPr>
              <w:spacing w:after="0"/>
              <w:rPr>
                <w:sz w:val="21"/>
                <w:szCs w:val="21"/>
                <w:color w:val="auto"/>
              </w:rPr>
            </w:pPr>
          </w:p>
        </w:tc>
        <w:tc>
          <w:tcPr>
            <w:tcW w:w="8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21,197</w:t>
            </w:r>
          </w:p>
        </w:tc>
        <w:tc>
          <w:tcPr>
            <w:tcW w:w="200" w:type="dxa"/>
            <w:vAlign w:val="bottom"/>
            <w:shd w:val="clear" w:color="auto" w:fill="EAEAEA"/>
          </w:tcPr>
          <w:p>
            <w:pPr>
              <w:spacing w:after="0"/>
              <w:rPr>
                <w:sz w:val="21"/>
                <w:szCs w:val="21"/>
                <w:color w:val="auto"/>
              </w:rPr>
            </w:pPr>
          </w:p>
        </w:tc>
        <w:tc>
          <w:tcPr>
            <w:tcW w:w="220" w:type="dxa"/>
            <w:vAlign w:val="bottom"/>
            <w:shd w:val="clear" w:color="auto" w:fill="EAEAEA"/>
          </w:tcPr>
          <w:p>
            <w:pPr>
              <w:spacing w:after="0"/>
              <w:rPr>
                <w:sz w:val="21"/>
                <w:szCs w:val="21"/>
                <w:color w:val="auto"/>
              </w:rPr>
            </w:pPr>
          </w:p>
        </w:tc>
        <w:tc>
          <w:tcPr>
            <w:tcW w:w="7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17,524</w:t>
            </w:r>
          </w:p>
        </w:tc>
        <w:tc>
          <w:tcPr>
            <w:tcW w:w="12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8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3,673</w:t>
            </w:r>
          </w:p>
        </w:tc>
        <w:tc>
          <w:tcPr>
            <w:tcW w:w="200" w:type="dxa"/>
            <w:vAlign w:val="bottom"/>
            <w:shd w:val="clear" w:color="auto" w:fill="EAEAEA"/>
          </w:tcPr>
          <w:p>
            <w:pPr>
              <w:spacing w:after="0"/>
              <w:rPr>
                <w:sz w:val="21"/>
                <w:szCs w:val="21"/>
                <w:color w:val="auto"/>
              </w:rPr>
            </w:pPr>
          </w:p>
        </w:tc>
        <w:tc>
          <w:tcPr>
            <w:tcW w:w="1120" w:type="dxa"/>
            <w:vAlign w:val="bottom"/>
            <w:gridSpan w:val="2"/>
            <w:shd w:val="clear" w:color="auto" w:fill="EAEAEA"/>
          </w:tcPr>
          <w:p>
            <w:pPr>
              <w:jc w:val="right"/>
              <w:ind w:right="120"/>
              <w:spacing w:after="0"/>
              <w:rPr>
                <w:sz w:val="20"/>
                <w:szCs w:val="20"/>
                <w:color w:val="auto"/>
              </w:rPr>
            </w:pPr>
            <w:r>
              <w:rPr>
                <w:rFonts w:ascii="Times New Roman" w:cs="Times New Roman" w:eastAsia="Times New Roman" w:hAnsi="Times New Roman"/>
                <w:sz w:val="20"/>
                <w:szCs w:val="20"/>
                <w:color w:val="auto"/>
              </w:rPr>
              <w:t>21.0%</w:t>
            </w:r>
          </w:p>
        </w:tc>
        <w:tc>
          <w:tcPr>
            <w:tcW w:w="0" w:type="dxa"/>
            <w:vAlign w:val="bottom"/>
          </w:tcPr>
          <w:p>
            <w:pPr>
              <w:spacing w:after="0"/>
              <w:rPr>
                <w:sz w:val="1"/>
                <w:szCs w:val="1"/>
                <w:color w:val="auto"/>
              </w:rPr>
            </w:pPr>
          </w:p>
        </w:tc>
      </w:tr>
      <w:tr>
        <w:trPr>
          <w:trHeight w:val="244"/>
        </w:trPr>
        <w:tc>
          <w:tcPr>
            <w:tcW w:w="4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expenses</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24,176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21,538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2,638</w:t>
            </w:r>
          </w:p>
        </w:tc>
        <w:tc>
          <w:tcPr>
            <w:tcW w:w="2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12.2%</w:t>
            </w:r>
          </w:p>
        </w:tc>
        <w:tc>
          <w:tcPr>
            <w:tcW w:w="0" w:type="dxa"/>
            <w:vAlign w:val="bottom"/>
          </w:tcPr>
          <w:p>
            <w:pPr>
              <w:spacing w:after="0"/>
              <w:rPr>
                <w:sz w:val="1"/>
                <w:szCs w:val="1"/>
                <w:color w:val="auto"/>
              </w:rPr>
            </w:pPr>
          </w:p>
        </w:tc>
      </w:tr>
      <w:tr>
        <w:trPr>
          <w:trHeight w:val="244"/>
        </w:trPr>
        <w:tc>
          <w:tcPr>
            <w:tcW w:w="468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40" w:type="dxa"/>
            <w:vAlign w:val="bottom"/>
            <w:shd w:val="clear" w:color="auto" w:fill="EAEAEA"/>
          </w:tcPr>
          <w:p>
            <w:pPr>
              <w:spacing w:after="0"/>
              <w:rPr>
                <w:sz w:val="21"/>
                <w:szCs w:val="21"/>
                <w:color w:val="auto"/>
              </w:rPr>
            </w:pPr>
          </w:p>
        </w:tc>
        <w:tc>
          <w:tcPr>
            <w:tcW w:w="8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8,962</w:t>
            </w:r>
          </w:p>
        </w:tc>
        <w:tc>
          <w:tcPr>
            <w:tcW w:w="200" w:type="dxa"/>
            <w:vAlign w:val="bottom"/>
            <w:shd w:val="clear" w:color="auto" w:fill="EAEAEA"/>
          </w:tcPr>
          <w:p>
            <w:pPr>
              <w:spacing w:after="0"/>
              <w:rPr>
                <w:sz w:val="21"/>
                <w:szCs w:val="21"/>
                <w:color w:val="auto"/>
              </w:rPr>
            </w:pPr>
          </w:p>
        </w:tc>
        <w:tc>
          <w:tcPr>
            <w:tcW w:w="220" w:type="dxa"/>
            <w:vAlign w:val="bottom"/>
            <w:shd w:val="clear" w:color="auto" w:fill="EAEAEA"/>
          </w:tcPr>
          <w:p>
            <w:pPr>
              <w:spacing w:after="0"/>
              <w:rPr>
                <w:sz w:val="21"/>
                <w:szCs w:val="21"/>
                <w:color w:val="auto"/>
              </w:rPr>
            </w:pPr>
          </w:p>
        </w:tc>
        <w:tc>
          <w:tcPr>
            <w:tcW w:w="7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6,735</w:t>
            </w:r>
          </w:p>
        </w:tc>
        <w:tc>
          <w:tcPr>
            <w:tcW w:w="12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8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2,227</w:t>
            </w:r>
          </w:p>
        </w:tc>
        <w:tc>
          <w:tcPr>
            <w:tcW w:w="200" w:type="dxa"/>
            <w:vAlign w:val="bottom"/>
            <w:shd w:val="clear" w:color="auto" w:fill="EAEAEA"/>
          </w:tcPr>
          <w:p>
            <w:pPr>
              <w:spacing w:after="0"/>
              <w:rPr>
                <w:sz w:val="21"/>
                <w:szCs w:val="21"/>
                <w:color w:val="auto"/>
              </w:rPr>
            </w:pPr>
          </w:p>
        </w:tc>
        <w:tc>
          <w:tcPr>
            <w:tcW w:w="1120" w:type="dxa"/>
            <w:vAlign w:val="bottom"/>
            <w:gridSpan w:val="2"/>
            <w:shd w:val="clear" w:color="auto" w:fill="EAEAEA"/>
          </w:tcPr>
          <w:p>
            <w:pPr>
              <w:jc w:val="right"/>
              <w:ind w:right="120"/>
              <w:spacing w:after="0"/>
              <w:rPr>
                <w:sz w:val="20"/>
                <w:szCs w:val="20"/>
                <w:color w:val="auto"/>
              </w:rPr>
            </w:pPr>
            <w:r>
              <w:rPr>
                <w:rFonts w:ascii="Times New Roman" w:cs="Times New Roman" w:eastAsia="Times New Roman" w:hAnsi="Times New Roman"/>
                <w:sz w:val="20"/>
                <w:szCs w:val="20"/>
                <w:color w:val="auto"/>
              </w:rPr>
              <w:t>33.1%</w:t>
            </w:r>
          </w:p>
        </w:tc>
        <w:tc>
          <w:tcPr>
            <w:tcW w:w="0" w:type="dxa"/>
            <w:vAlign w:val="bottom"/>
          </w:tcPr>
          <w:p>
            <w:pPr>
              <w:spacing w:after="0"/>
              <w:rPr>
                <w:sz w:val="1"/>
                <w:szCs w:val="1"/>
                <w:color w:val="auto"/>
              </w:rPr>
            </w:pPr>
          </w:p>
        </w:tc>
      </w:tr>
      <w:tr>
        <w:trPr>
          <w:trHeight w:val="244"/>
        </w:trPr>
        <w:tc>
          <w:tcPr>
            <w:tcW w:w="4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Pre-opening costs</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8,317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7,607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w:t>
            </w:r>
          </w:p>
        </w:tc>
        <w:tc>
          <w:tcPr>
            <w:tcW w:w="2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9.3%</w:t>
            </w:r>
          </w:p>
        </w:tc>
        <w:tc>
          <w:tcPr>
            <w:tcW w:w="0" w:type="dxa"/>
            <w:vAlign w:val="bottom"/>
          </w:tcPr>
          <w:p>
            <w:pPr>
              <w:spacing w:after="0"/>
              <w:rPr>
                <w:sz w:val="1"/>
                <w:szCs w:val="1"/>
                <w:color w:val="auto"/>
              </w:rPr>
            </w:pPr>
          </w:p>
        </w:tc>
      </w:tr>
      <w:tr>
        <w:trPr>
          <w:trHeight w:val="20"/>
        </w:trPr>
        <w:tc>
          <w:tcPr>
            <w:tcW w:w="4680" w:type="dxa"/>
            <w:vAlign w:val="bottom"/>
            <w:vMerge w:val="restart"/>
            <w:shd w:val="clear" w:color="auto" w:fill="EAEAEA"/>
          </w:tcPr>
          <w:p>
            <w:pPr>
              <w:ind w:left="600"/>
              <w:spacing w:after="0"/>
              <w:rPr>
                <w:sz w:val="20"/>
                <w:szCs w:val="20"/>
                <w:color w:val="auto"/>
              </w:rPr>
            </w:pPr>
            <w:r>
              <w:rPr>
                <w:rFonts w:ascii="Times New Roman" w:cs="Times New Roman" w:eastAsia="Times New Roman" w:hAnsi="Times New Roman"/>
                <w:sz w:val="20"/>
                <w:szCs w:val="20"/>
                <w:color w:val="auto"/>
              </w:rPr>
              <w:t>Total restaurant operating expenses</w:t>
            </w: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EAEAEA"/>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EAEAEA"/>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EAEAEA"/>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680" w:type="dxa"/>
            <w:vAlign w:val="bottom"/>
            <w:vMerge w:val="continue"/>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8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201,385</w:t>
            </w:r>
          </w:p>
        </w:tc>
        <w:tc>
          <w:tcPr>
            <w:tcW w:w="200" w:type="dxa"/>
            <w:vAlign w:val="bottom"/>
            <w:shd w:val="clear" w:color="auto" w:fill="EAEAEA"/>
          </w:tcPr>
          <w:p>
            <w:pPr>
              <w:spacing w:after="0"/>
              <w:rPr>
                <w:sz w:val="20"/>
                <w:szCs w:val="20"/>
                <w:color w:val="auto"/>
              </w:rPr>
            </w:pPr>
          </w:p>
        </w:tc>
        <w:tc>
          <w:tcPr>
            <w:tcW w:w="220" w:type="dxa"/>
            <w:vAlign w:val="bottom"/>
            <w:shd w:val="clear" w:color="auto" w:fill="EAEAEA"/>
          </w:tcPr>
          <w:p>
            <w:pPr>
              <w:spacing w:after="0"/>
              <w:rPr>
                <w:sz w:val="20"/>
                <w:szCs w:val="20"/>
                <w:color w:val="auto"/>
              </w:rPr>
            </w:pPr>
          </w:p>
        </w:tc>
        <w:tc>
          <w:tcPr>
            <w:tcW w:w="7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186,456</w:t>
            </w:r>
          </w:p>
        </w:tc>
        <w:tc>
          <w:tcPr>
            <w:tcW w:w="12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8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14,929</w:t>
            </w:r>
          </w:p>
        </w:tc>
        <w:tc>
          <w:tcPr>
            <w:tcW w:w="200" w:type="dxa"/>
            <w:vAlign w:val="bottom"/>
            <w:shd w:val="clear" w:color="auto" w:fill="EAEAEA"/>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20"/>
        </w:trPr>
        <w:tc>
          <w:tcPr>
            <w:tcW w:w="4680" w:type="dxa"/>
            <w:vAlign w:val="bottom"/>
            <w:tcBorders>
              <w:top w:val="single" w:sz="8" w:color="EAEAEA"/>
            </w:tcBorders>
            <w:vMerge w:val="restart"/>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EAEA"/>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80" w:type="dxa"/>
            <w:vAlign w:val="bottom"/>
            <w:tcBorders>
              <w:top w:val="single" w:sz="8" w:color="EAEAEA"/>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EAEA"/>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6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25,935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21,326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4,609</w:t>
            </w:r>
          </w:p>
        </w:tc>
        <w:tc>
          <w:tcPr>
            <w:tcW w:w="200" w:type="dxa"/>
            <w:vAlign w:val="bottom"/>
          </w:tcPr>
          <w:p>
            <w:pPr>
              <w:spacing w:after="0"/>
              <w:rPr>
                <w:sz w:val="19"/>
                <w:szCs w:val="19"/>
                <w:color w:val="auto"/>
              </w:rPr>
            </w:pPr>
          </w:p>
        </w:tc>
        <w:tc>
          <w:tcPr>
            <w:tcW w:w="1120" w:type="dxa"/>
            <w:vAlign w:val="bottom"/>
            <w:gridSpan w:val="2"/>
          </w:tcPr>
          <w:p>
            <w:pPr>
              <w:jc w:val="right"/>
              <w:ind w:right="120"/>
              <w:spacing w:after="0" w:line="219" w:lineRule="exact"/>
              <w:rPr>
                <w:sz w:val="20"/>
                <w:szCs w:val="20"/>
                <w:color w:val="auto"/>
              </w:rPr>
            </w:pPr>
            <w:r>
              <w:rPr>
                <w:rFonts w:ascii="Times New Roman" w:cs="Times New Roman" w:eastAsia="Times New Roman" w:hAnsi="Times New Roman"/>
                <w:sz w:val="20"/>
                <w:szCs w:val="20"/>
                <w:color w:val="auto"/>
              </w:rPr>
              <w:t>21.6%</w:t>
            </w:r>
          </w:p>
        </w:tc>
        <w:tc>
          <w:tcPr>
            <w:tcW w:w="0" w:type="dxa"/>
            <w:vAlign w:val="bottom"/>
          </w:tcPr>
          <w:p>
            <w:pPr>
              <w:spacing w:after="0"/>
              <w:rPr>
                <w:sz w:val="1"/>
                <w:szCs w:val="1"/>
                <w:color w:val="auto"/>
              </w:rPr>
            </w:pPr>
          </w:p>
        </w:tc>
      </w:tr>
      <w:tr>
        <w:trPr>
          <w:trHeight w:val="244"/>
        </w:trPr>
        <w:tc>
          <w:tcPr>
            <w:tcW w:w="46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Impairment expense</w:t>
            </w:r>
          </w:p>
        </w:tc>
        <w:tc>
          <w:tcPr>
            <w:tcW w:w="140" w:type="dxa"/>
            <w:vAlign w:val="bottom"/>
            <w:shd w:val="clear" w:color="auto" w:fill="EAEAEA"/>
          </w:tcPr>
          <w:p>
            <w:pPr>
              <w:spacing w:after="0"/>
              <w:rPr>
                <w:sz w:val="21"/>
                <w:szCs w:val="21"/>
                <w:color w:val="auto"/>
              </w:rPr>
            </w:pPr>
          </w:p>
        </w:tc>
        <w:tc>
          <w:tcPr>
            <w:tcW w:w="8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5,527</w:t>
            </w:r>
          </w:p>
        </w:tc>
        <w:tc>
          <w:tcPr>
            <w:tcW w:w="200" w:type="dxa"/>
            <w:vAlign w:val="bottom"/>
            <w:shd w:val="clear" w:color="auto" w:fill="EAEAEA"/>
          </w:tcPr>
          <w:p>
            <w:pPr>
              <w:spacing w:after="0"/>
              <w:rPr>
                <w:sz w:val="21"/>
                <w:szCs w:val="21"/>
                <w:color w:val="auto"/>
              </w:rPr>
            </w:pPr>
          </w:p>
        </w:tc>
        <w:tc>
          <w:tcPr>
            <w:tcW w:w="220" w:type="dxa"/>
            <w:vAlign w:val="bottom"/>
            <w:shd w:val="clear" w:color="auto" w:fill="EAEAEA"/>
          </w:tcPr>
          <w:p>
            <w:pPr>
              <w:spacing w:after="0"/>
              <w:rPr>
                <w:sz w:val="21"/>
                <w:szCs w:val="21"/>
                <w:color w:val="auto"/>
              </w:rPr>
            </w:pPr>
          </w:p>
        </w:tc>
        <w:tc>
          <w:tcPr>
            <w:tcW w:w="900" w:type="dxa"/>
            <w:vAlign w:val="bottom"/>
            <w:gridSpan w:val="2"/>
            <w:shd w:val="clear" w:color="auto" w:fill="EAEAEA"/>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8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5,527</w:t>
            </w:r>
          </w:p>
        </w:tc>
        <w:tc>
          <w:tcPr>
            <w:tcW w:w="200" w:type="dxa"/>
            <w:vAlign w:val="bottom"/>
            <w:shd w:val="clear" w:color="auto" w:fill="EAEAEA"/>
          </w:tcPr>
          <w:p>
            <w:pPr>
              <w:spacing w:after="0"/>
              <w:rPr>
                <w:sz w:val="21"/>
                <w:szCs w:val="21"/>
                <w:color w:val="auto"/>
              </w:rPr>
            </w:pPr>
          </w:p>
        </w:tc>
        <w:tc>
          <w:tcPr>
            <w:tcW w:w="1120" w:type="dxa"/>
            <w:vAlign w:val="bottom"/>
            <w:gridSpan w:val="2"/>
            <w:shd w:val="clear" w:color="auto" w:fill="EAEAEA"/>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 - corporate</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2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29.5%</w:t>
            </w:r>
          </w:p>
        </w:tc>
        <w:tc>
          <w:tcPr>
            <w:tcW w:w="0" w:type="dxa"/>
            <w:vAlign w:val="bottom"/>
          </w:tcPr>
          <w:p>
            <w:pPr>
              <w:spacing w:after="0"/>
              <w:rPr>
                <w:sz w:val="1"/>
                <w:szCs w:val="1"/>
                <w:color w:val="auto"/>
              </w:rPr>
            </w:pPr>
          </w:p>
        </w:tc>
      </w:tr>
      <w:tr>
        <w:trPr>
          <w:trHeight w:val="244"/>
        </w:trPr>
        <w:tc>
          <w:tcPr>
            <w:tcW w:w="46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(Gain) loss on lease terminations</w:t>
            </w:r>
          </w:p>
        </w:tc>
        <w:tc>
          <w:tcPr>
            <w:tcW w:w="140" w:type="dxa"/>
            <w:vAlign w:val="bottom"/>
            <w:shd w:val="clear" w:color="auto" w:fill="EAEAEA"/>
          </w:tcPr>
          <w:p>
            <w:pPr>
              <w:spacing w:after="0"/>
              <w:rPr>
                <w:sz w:val="21"/>
                <w:szCs w:val="21"/>
                <w:color w:val="auto"/>
              </w:rPr>
            </w:pPr>
          </w:p>
        </w:tc>
        <w:tc>
          <w:tcPr>
            <w:tcW w:w="1040" w:type="dxa"/>
            <w:vAlign w:val="bottom"/>
            <w:gridSpan w:val="2"/>
            <w:shd w:val="clear" w:color="auto" w:fill="EAEAEA"/>
          </w:tcPr>
          <w:p>
            <w:pPr>
              <w:jc w:val="right"/>
              <w:ind w:right="120"/>
              <w:spacing w:after="0"/>
              <w:rPr>
                <w:sz w:val="20"/>
                <w:szCs w:val="20"/>
                <w:color w:val="auto"/>
              </w:rPr>
            </w:pPr>
            <w:r>
              <w:rPr>
                <w:rFonts w:ascii="Times New Roman" w:cs="Times New Roman" w:eastAsia="Times New Roman" w:hAnsi="Times New Roman"/>
                <w:sz w:val="20"/>
                <w:szCs w:val="20"/>
                <w:color w:val="auto"/>
              </w:rPr>
              <w:t>(471)</w:t>
            </w:r>
          </w:p>
        </w:tc>
        <w:tc>
          <w:tcPr>
            <w:tcW w:w="220" w:type="dxa"/>
            <w:vAlign w:val="bottom"/>
            <w:shd w:val="clear" w:color="auto" w:fill="EAEAEA"/>
          </w:tcPr>
          <w:p>
            <w:pPr>
              <w:spacing w:after="0"/>
              <w:rPr>
                <w:sz w:val="21"/>
                <w:szCs w:val="21"/>
                <w:color w:val="auto"/>
              </w:rPr>
            </w:pPr>
          </w:p>
        </w:tc>
        <w:tc>
          <w:tcPr>
            <w:tcW w:w="900" w:type="dxa"/>
            <w:vAlign w:val="bottom"/>
            <w:gridSpan w:val="2"/>
            <w:shd w:val="clear" w:color="auto" w:fill="EAEAEA"/>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1040" w:type="dxa"/>
            <w:vAlign w:val="bottom"/>
            <w:gridSpan w:val="2"/>
            <w:shd w:val="clear" w:color="auto" w:fill="EAEAEA"/>
          </w:tcPr>
          <w:p>
            <w:pPr>
              <w:jc w:val="right"/>
              <w:ind w:right="140"/>
              <w:spacing w:after="0"/>
              <w:rPr>
                <w:sz w:val="20"/>
                <w:szCs w:val="20"/>
                <w:color w:val="auto"/>
              </w:rPr>
            </w:pPr>
            <w:r>
              <w:rPr>
                <w:rFonts w:ascii="Times New Roman" w:cs="Times New Roman" w:eastAsia="Times New Roman" w:hAnsi="Times New Roman"/>
                <w:sz w:val="20"/>
                <w:szCs w:val="20"/>
                <w:color w:val="auto"/>
              </w:rPr>
              <w:t>(471)</w:t>
            </w:r>
          </w:p>
        </w:tc>
        <w:tc>
          <w:tcPr>
            <w:tcW w:w="8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30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EAEAEA"/>
            </w:tcBorders>
            <w:vMerge w:val="restart"/>
          </w:tcPr>
          <w:p>
            <w:pPr>
              <w:ind w:left="800"/>
              <w:spacing w:after="0"/>
              <w:rPr>
                <w:sz w:val="20"/>
                <w:szCs w:val="20"/>
                <w:color w:val="auto"/>
              </w:rPr>
            </w:pPr>
            <w:r>
              <w:rPr>
                <w:rFonts w:ascii="Times New Roman" w:cs="Times New Roman" w:eastAsia="Times New Roman" w:hAnsi="Times New Roman"/>
                <w:sz w:val="20"/>
                <w:szCs w:val="20"/>
                <w:color w:val="auto"/>
              </w:rPr>
              <w:t>Total costs and expenses</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EAEA"/>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80" w:type="dxa"/>
            <w:vAlign w:val="bottom"/>
            <w:tcBorders>
              <w:top w:val="single" w:sz="8" w:color="EAEAEA"/>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EAEA"/>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EA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6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232,534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207,904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24,630</w:t>
            </w:r>
          </w:p>
        </w:tc>
        <w:tc>
          <w:tcPr>
            <w:tcW w:w="200" w:type="dxa"/>
            <w:vAlign w:val="bottom"/>
          </w:tcPr>
          <w:p>
            <w:pPr>
              <w:spacing w:after="0"/>
              <w:rPr>
                <w:sz w:val="19"/>
                <w:szCs w:val="19"/>
                <w:color w:val="auto"/>
              </w:rPr>
            </w:pPr>
          </w:p>
        </w:tc>
        <w:tc>
          <w:tcPr>
            <w:tcW w:w="1120" w:type="dxa"/>
            <w:vAlign w:val="bottom"/>
            <w:gridSpan w:val="2"/>
          </w:tcPr>
          <w:p>
            <w:pPr>
              <w:jc w:val="right"/>
              <w:ind w:right="120"/>
              <w:spacing w:after="0" w:line="219" w:lineRule="exact"/>
              <w:rPr>
                <w:sz w:val="20"/>
                <w:szCs w:val="20"/>
                <w:color w:val="auto"/>
              </w:rPr>
            </w:pPr>
            <w:r>
              <w:rPr>
                <w:rFonts w:ascii="Times New Roman" w:cs="Times New Roman" w:eastAsia="Times New Roman" w:hAnsi="Times New Roman"/>
                <w:sz w:val="20"/>
                <w:szCs w:val="20"/>
                <w:color w:val="auto"/>
              </w:rPr>
              <w:t>11.8%</w:t>
            </w:r>
          </w:p>
        </w:tc>
        <w:tc>
          <w:tcPr>
            <w:tcW w:w="0" w:type="dxa"/>
            <w:vAlign w:val="bottom"/>
          </w:tcPr>
          <w:p>
            <w:pPr>
              <w:spacing w:after="0"/>
              <w:rPr>
                <w:sz w:val="1"/>
                <w:szCs w:val="1"/>
                <w:color w:val="auto"/>
              </w:rPr>
            </w:pPr>
          </w:p>
        </w:tc>
      </w:tr>
      <w:tr>
        <w:trPr>
          <w:trHeight w:val="20"/>
        </w:trPr>
        <w:tc>
          <w:tcPr>
            <w:tcW w:w="4680" w:type="dxa"/>
            <w:vAlign w:val="bottom"/>
            <w:vMerge w:val="restart"/>
            <w:shd w:val="clear" w:color="auto" w:fill="EAEAEA"/>
          </w:tcPr>
          <w:p>
            <w:pPr>
              <w:ind w:left="800"/>
              <w:spacing w:after="0"/>
              <w:rPr>
                <w:sz w:val="20"/>
                <w:szCs w:val="20"/>
                <w:color w:val="auto"/>
              </w:rPr>
            </w:pPr>
            <w:r>
              <w:rPr>
                <w:rFonts w:ascii="Times New Roman" w:cs="Times New Roman" w:eastAsia="Times New Roman" w:hAnsi="Times New Roman"/>
                <w:sz w:val="20"/>
                <w:szCs w:val="20"/>
                <w:color w:val="auto"/>
              </w:rPr>
              <w:t>(Loss) income from operations</w:t>
            </w: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EAEAEA"/>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EAEAEA"/>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EAEAEA"/>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680" w:type="dxa"/>
            <w:vAlign w:val="bottom"/>
            <w:vMerge w:val="continue"/>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8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(19,993)</w:t>
            </w:r>
          </w:p>
        </w:tc>
        <w:tc>
          <w:tcPr>
            <w:tcW w:w="200" w:type="dxa"/>
            <w:vAlign w:val="bottom"/>
            <w:shd w:val="clear" w:color="auto" w:fill="EAEAEA"/>
          </w:tcPr>
          <w:p>
            <w:pPr>
              <w:spacing w:after="0"/>
              <w:rPr>
                <w:sz w:val="20"/>
                <w:szCs w:val="20"/>
                <w:color w:val="auto"/>
              </w:rPr>
            </w:pPr>
          </w:p>
        </w:tc>
        <w:tc>
          <w:tcPr>
            <w:tcW w:w="220" w:type="dxa"/>
            <w:vAlign w:val="bottom"/>
            <w:shd w:val="clear" w:color="auto" w:fill="EAEAEA"/>
          </w:tcPr>
          <w:p>
            <w:pPr>
              <w:spacing w:after="0"/>
              <w:rPr>
                <w:sz w:val="20"/>
                <w:szCs w:val="20"/>
                <w:color w:val="auto"/>
              </w:rPr>
            </w:pPr>
          </w:p>
        </w:tc>
        <w:tc>
          <w:tcPr>
            <w:tcW w:w="7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476</w:t>
            </w:r>
          </w:p>
        </w:tc>
        <w:tc>
          <w:tcPr>
            <w:tcW w:w="12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8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(20,469)</w:t>
            </w:r>
          </w:p>
        </w:tc>
        <w:tc>
          <w:tcPr>
            <w:tcW w:w="200" w:type="dxa"/>
            <w:vAlign w:val="bottom"/>
            <w:shd w:val="clear" w:color="auto" w:fill="EAEAEA"/>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(4300.2)%</w:t>
            </w:r>
          </w:p>
        </w:tc>
        <w:tc>
          <w:tcPr>
            <w:tcW w:w="0" w:type="dxa"/>
            <w:vAlign w:val="bottom"/>
          </w:tcPr>
          <w:p>
            <w:pPr>
              <w:spacing w:after="0"/>
              <w:rPr>
                <w:sz w:val="1"/>
                <w:szCs w:val="1"/>
                <w:color w:val="auto"/>
              </w:rPr>
            </w:pPr>
          </w:p>
        </w:tc>
      </w:tr>
      <w:tr>
        <w:trPr>
          <w:trHeight w:val="20"/>
        </w:trPr>
        <w:tc>
          <w:tcPr>
            <w:tcW w:w="4680" w:type="dxa"/>
            <w:vAlign w:val="bottom"/>
            <w:tcBorders>
              <w:top w:val="single" w:sz="8" w:color="EAEAEA"/>
            </w:tcBorders>
            <w:vMerge w:val="restart"/>
          </w:tcPr>
          <w:p>
            <w:pPr>
              <w:spacing w:after="0"/>
              <w:rPr>
                <w:sz w:val="20"/>
                <w:szCs w:val="20"/>
                <w:color w:val="auto"/>
              </w:rPr>
            </w:pPr>
            <w:r>
              <w:rPr>
                <w:rFonts w:ascii="Times New Roman" w:cs="Times New Roman" w:eastAsia="Times New Roman" w:hAnsi="Times New Roman"/>
                <w:sz w:val="20"/>
                <w:szCs w:val="20"/>
                <w:color w:val="auto"/>
              </w:rPr>
              <w:t>Employee retention credits</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EAEA"/>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80" w:type="dxa"/>
            <w:vAlign w:val="bottom"/>
            <w:tcBorders>
              <w:top w:val="single" w:sz="8" w:color="EAEAEA"/>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EAEA"/>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6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313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199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114</w:t>
            </w:r>
          </w:p>
        </w:tc>
        <w:tc>
          <w:tcPr>
            <w:tcW w:w="200" w:type="dxa"/>
            <w:vAlign w:val="bottom"/>
          </w:tcPr>
          <w:p>
            <w:pPr>
              <w:spacing w:after="0"/>
              <w:rPr>
                <w:sz w:val="19"/>
                <w:szCs w:val="19"/>
                <w:color w:val="auto"/>
              </w:rPr>
            </w:pPr>
          </w:p>
        </w:tc>
        <w:tc>
          <w:tcPr>
            <w:tcW w:w="1120" w:type="dxa"/>
            <w:vAlign w:val="bottom"/>
            <w:gridSpan w:val="2"/>
          </w:tcPr>
          <w:p>
            <w:pPr>
              <w:jc w:val="right"/>
              <w:ind w:right="120"/>
              <w:spacing w:after="0" w:line="219" w:lineRule="exact"/>
              <w:rPr>
                <w:sz w:val="20"/>
                <w:szCs w:val="20"/>
                <w:color w:val="auto"/>
              </w:rPr>
            </w:pPr>
            <w:r>
              <w:rPr>
                <w:rFonts w:ascii="Times New Roman" w:cs="Times New Roman" w:eastAsia="Times New Roman" w:hAnsi="Times New Roman"/>
                <w:sz w:val="20"/>
                <w:szCs w:val="20"/>
                <w:color w:val="auto"/>
              </w:rPr>
              <w:t>57.3%</w:t>
            </w:r>
          </w:p>
        </w:tc>
        <w:tc>
          <w:tcPr>
            <w:tcW w:w="0" w:type="dxa"/>
            <w:vAlign w:val="bottom"/>
          </w:tcPr>
          <w:p>
            <w:pPr>
              <w:spacing w:after="0"/>
              <w:rPr>
                <w:sz w:val="1"/>
                <w:szCs w:val="1"/>
                <w:color w:val="auto"/>
              </w:rPr>
            </w:pPr>
          </w:p>
        </w:tc>
      </w:tr>
      <w:tr>
        <w:trPr>
          <w:trHeight w:val="244"/>
        </w:trPr>
        <w:tc>
          <w:tcPr>
            <w:tcW w:w="46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Gain on remeasurement of previously held interest</w:t>
            </w:r>
          </w:p>
        </w:tc>
        <w:tc>
          <w:tcPr>
            <w:tcW w:w="140" w:type="dxa"/>
            <w:vAlign w:val="bottom"/>
            <w:shd w:val="clear" w:color="auto" w:fill="EAEAEA"/>
          </w:tcPr>
          <w:p>
            <w:pPr>
              <w:spacing w:after="0"/>
              <w:rPr>
                <w:sz w:val="21"/>
                <w:szCs w:val="21"/>
                <w:color w:val="auto"/>
              </w:rPr>
            </w:pPr>
          </w:p>
        </w:tc>
        <w:tc>
          <w:tcPr>
            <w:tcW w:w="1040" w:type="dxa"/>
            <w:vAlign w:val="bottom"/>
            <w:gridSpan w:val="2"/>
            <w:shd w:val="clear" w:color="auto" w:fill="EAEAEA"/>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AEAEA"/>
          </w:tcPr>
          <w:p>
            <w:pPr>
              <w:spacing w:after="0"/>
              <w:rPr>
                <w:sz w:val="21"/>
                <w:szCs w:val="21"/>
                <w:color w:val="auto"/>
              </w:rPr>
            </w:pPr>
          </w:p>
        </w:tc>
        <w:tc>
          <w:tcPr>
            <w:tcW w:w="7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3,402</w:t>
            </w:r>
          </w:p>
        </w:tc>
        <w:tc>
          <w:tcPr>
            <w:tcW w:w="12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1040" w:type="dxa"/>
            <w:vAlign w:val="bottom"/>
            <w:gridSpan w:val="2"/>
            <w:shd w:val="clear" w:color="auto" w:fill="EAEAEA"/>
          </w:tcPr>
          <w:p>
            <w:pPr>
              <w:jc w:val="right"/>
              <w:ind w:right="140"/>
              <w:spacing w:after="0"/>
              <w:rPr>
                <w:sz w:val="20"/>
                <w:szCs w:val="20"/>
                <w:color w:val="auto"/>
              </w:rPr>
            </w:pPr>
            <w:r>
              <w:rPr>
                <w:rFonts w:ascii="Times New Roman" w:cs="Times New Roman" w:eastAsia="Times New Roman" w:hAnsi="Times New Roman"/>
                <w:sz w:val="20"/>
                <w:szCs w:val="20"/>
                <w:color w:val="auto"/>
              </w:rPr>
              <w:t>(3,402)</w:t>
            </w:r>
          </w:p>
        </w:tc>
        <w:tc>
          <w:tcPr>
            <w:tcW w:w="1120" w:type="dxa"/>
            <w:vAlign w:val="bottom"/>
            <w:gridSpan w:val="2"/>
            <w:shd w:val="clear" w:color="auto" w:fill="EAEAEA"/>
          </w:tcPr>
          <w:p>
            <w:pPr>
              <w:jc w:val="right"/>
              <w:ind w:right="60"/>
              <w:spacing w:after="0"/>
              <w:rPr>
                <w:sz w:val="20"/>
                <w:szCs w:val="20"/>
                <w:color w:val="auto"/>
              </w:rPr>
            </w:pPr>
            <w:r>
              <w:rPr>
                <w:rFonts w:ascii="Times New Roman" w:cs="Times New Roman" w:eastAsia="Times New Roman" w:hAnsi="Times New Roman"/>
                <w:sz w:val="20"/>
                <w:szCs w:val="20"/>
                <w:color w:val="auto"/>
              </w:rPr>
              <w:t>(100.0)%</w:t>
            </w:r>
          </w:p>
        </w:tc>
        <w:tc>
          <w:tcPr>
            <w:tcW w:w="0" w:type="dxa"/>
            <w:vAlign w:val="bottom"/>
          </w:tcPr>
          <w:p>
            <w:pPr>
              <w:spacing w:after="0"/>
              <w:rPr>
                <w:sz w:val="1"/>
                <w:szCs w:val="1"/>
                <w:color w:val="auto"/>
              </w:rPr>
            </w:pPr>
          </w:p>
        </w:tc>
      </w:tr>
      <w:tr>
        <w:trPr>
          <w:trHeight w:val="244"/>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Other loss</w:t>
            </w:r>
          </w:p>
        </w:tc>
        <w:tc>
          <w:tcPr>
            <w:tcW w:w="14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(346)</w:t>
            </w:r>
          </w:p>
        </w:tc>
        <w:tc>
          <w:tcPr>
            <w:tcW w:w="22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(346)</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6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Loss on foreign currency</w:t>
            </w:r>
          </w:p>
        </w:tc>
        <w:tc>
          <w:tcPr>
            <w:tcW w:w="140" w:type="dxa"/>
            <w:vAlign w:val="bottom"/>
            <w:shd w:val="clear" w:color="auto" w:fill="EAEAEA"/>
          </w:tcPr>
          <w:p>
            <w:pPr>
              <w:spacing w:after="0"/>
              <w:rPr>
                <w:sz w:val="21"/>
                <w:szCs w:val="21"/>
                <w:color w:val="auto"/>
              </w:rPr>
            </w:pPr>
          </w:p>
        </w:tc>
        <w:tc>
          <w:tcPr>
            <w:tcW w:w="1040" w:type="dxa"/>
            <w:vAlign w:val="bottom"/>
            <w:gridSpan w:val="2"/>
            <w:shd w:val="clear" w:color="auto" w:fill="EAEAEA"/>
          </w:tcPr>
          <w:p>
            <w:pPr>
              <w:jc w:val="right"/>
              <w:ind w:right="120"/>
              <w:spacing w:after="0"/>
              <w:rPr>
                <w:sz w:val="20"/>
                <w:szCs w:val="20"/>
                <w:color w:val="auto"/>
              </w:rPr>
            </w:pPr>
            <w:r>
              <w:rPr>
                <w:rFonts w:ascii="Times New Roman" w:cs="Times New Roman" w:eastAsia="Times New Roman" w:hAnsi="Times New Roman"/>
                <w:sz w:val="20"/>
                <w:szCs w:val="20"/>
                <w:color w:val="auto"/>
              </w:rPr>
              <w:t>(47)</w:t>
            </w:r>
          </w:p>
        </w:tc>
        <w:tc>
          <w:tcPr>
            <w:tcW w:w="220" w:type="dxa"/>
            <w:vAlign w:val="bottom"/>
            <w:shd w:val="clear" w:color="auto" w:fill="EAEAEA"/>
          </w:tcPr>
          <w:p>
            <w:pPr>
              <w:spacing w:after="0"/>
              <w:rPr>
                <w:sz w:val="21"/>
                <w:szCs w:val="21"/>
                <w:color w:val="auto"/>
              </w:rPr>
            </w:pPr>
          </w:p>
        </w:tc>
        <w:tc>
          <w:tcPr>
            <w:tcW w:w="900" w:type="dxa"/>
            <w:vAlign w:val="bottom"/>
            <w:gridSpan w:val="2"/>
            <w:shd w:val="clear" w:color="auto" w:fill="EAEAEA"/>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1040" w:type="dxa"/>
            <w:vAlign w:val="bottom"/>
            <w:gridSpan w:val="2"/>
            <w:shd w:val="clear" w:color="auto" w:fill="EAEAEA"/>
          </w:tcPr>
          <w:p>
            <w:pPr>
              <w:jc w:val="right"/>
              <w:ind w:right="140"/>
              <w:spacing w:after="0"/>
              <w:rPr>
                <w:sz w:val="20"/>
                <w:szCs w:val="20"/>
                <w:color w:val="auto"/>
              </w:rPr>
            </w:pPr>
            <w:r>
              <w:rPr>
                <w:rFonts w:ascii="Times New Roman" w:cs="Times New Roman" w:eastAsia="Times New Roman" w:hAnsi="Times New Roman"/>
                <w:sz w:val="20"/>
                <w:szCs w:val="20"/>
                <w:color w:val="auto"/>
              </w:rPr>
              <w:t>(47)</w:t>
            </w:r>
          </w:p>
        </w:tc>
        <w:tc>
          <w:tcPr>
            <w:tcW w:w="8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30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 income, net</w:t>
            </w:r>
          </w:p>
        </w:tc>
        <w:tc>
          <w:tcPr>
            <w:tcW w:w="14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(232)</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(1,061)</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(128.0)%</w:t>
            </w:r>
          </w:p>
        </w:tc>
        <w:tc>
          <w:tcPr>
            <w:tcW w:w="0" w:type="dxa"/>
            <w:vAlign w:val="bottom"/>
          </w:tcPr>
          <w:p>
            <w:pPr>
              <w:spacing w:after="0"/>
              <w:rPr>
                <w:sz w:val="1"/>
                <w:szCs w:val="1"/>
                <w:color w:val="auto"/>
              </w:rPr>
            </w:pPr>
          </w:p>
        </w:tc>
      </w:tr>
      <w:tr>
        <w:trPr>
          <w:trHeight w:val="244"/>
        </w:trPr>
        <w:tc>
          <w:tcPr>
            <w:tcW w:w="46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Equity in loss of equity method investee</w:t>
            </w:r>
          </w:p>
        </w:tc>
        <w:tc>
          <w:tcPr>
            <w:tcW w:w="140" w:type="dxa"/>
            <w:vAlign w:val="bottom"/>
            <w:shd w:val="clear" w:color="auto" w:fill="EAEAEA"/>
          </w:tcPr>
          <w:p>
            <w:pPr>
              <w:spacing w:after="0"/>
              <w:rPr>
                <w:sz w:val="21"/>
                <w:szCs w:val="21"/>
                <w:color w:val="auto"/>
              </w:rPr>
            </w:pPr>
          </w:p>
        </w:tc>
        <w:tc>
          <w:tcPr>
            <w:tcW w:w="8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AEAEA"/>
          </w:tcPr>
          <w:p>
            <w:pPr>
              <w:spacing w:after="0"/>
              <w:rPr>
                <w:sz w:val="21"/>
                <w:szCs w:val="21"/>
                <w:color w:val="auto"/>
              </w:rPr>
            </w:pPr>
          </w:p>
        </w:tc>
        <w:tc>
          <w:tcPr>
            <w:tcW w:w="220" w:type="dxa"/>
            <w:vAlign w:val="bottom"/>
            <w:shd w:val="clear" w:color="auto" w:fill="EAEAEA"/>
          </w:tcPr>
          <w:p>
            <w:pPr>
              <w:spacing w:after="0"/>
              <w:rPr>
                <w:sz w:val="21"/>
                <w:szCs w:val="21"/>
                <w:color w:val="auto"/>
              </w:rPr>
            </w:pPr>
          </w:p>
        </w:tc>
        <w:tc>
          <w:tcPr>
            <w:tcW w:w="900" w:type="dxa"/>
            <w:vAlign w:val="bottom"/>
            <w:gridSpan w:val="2"/>
            <w:shd w:val="clear" w:color="auto" w:fill="EAEAEA"/>
          </w:tcPr>
          <w:p>
            <w:pPr>
              <w:jc w:val="right"/>
              <w:ind w:right="60"/>
              <w:spacing w:after="0"/>
              <w:rPr>
                <w:sz w:val="20"/>
                <w:szCs w:val="20"/>
                <w:color w:val="auto"/>
              </w:rPr>
            </w:pPr>
            <w:r>
              <w:rPr>
                <w:rFonts w:ascii="Times New Roman" w:cs="Times New Roman" w:eastAsia="Times New Roman" w:hAnsi="Times New Roman"/>
                <w:sz w:val="20"/>
                <w:szCs w:val="20"/>
                <w:color w:val="auto"/>
              </w:rPr>
              <w:t>(17)</w:t>
            </w:r>
          </w:p>
        </w:tc>
        <w:tc>
          <w:tcPr>
            <w:tcW w:w="8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8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200" w:type="dxa"/>
            <w:vAlign w:val="bottom"/>
            <w:shd w:val="clear" w:color="auto" w:fill="EAEAEA"/>
          </w:tcPr>
          <w:p>
            <w:pPr>
              <w:spacing w:after="0"/>
              <w:rPr>
                <w:sz w:val="21"/>
                <w:szCs w:val="21"/>
                <w:color w:val="auto"/>
              </w:rPr>
            </w:pPr>
          </w:p>
        </w:tc>
        <w:tc>
          <w:tcPr>
            <w:tcW w:w="1120" w:type="dxa"/>
            <w:vAlign w:val="bottom"/>
            <w:gridSpan w:val="2"/>
            <w:shd w:val="clear" w:color="auto" w:fill="EAEAEA"/>
          </w:tcPr>
          <w:p>
            <w:pPr>
              <w:jc w:val="right"/>
              <w:ind w:right="60"/>
              <w:spacing w:after="0"/>
              <w:rPr>
                <w:sz w:val="20"/>
                <w:szCs w:val="20"/>
                <w:color w:val="auto"/>
              </w:rPr>
            </w:pPr>
            <w:r>
              <w:rPr>
                <w:rFonts w:ascii="Times New Roman" w:cs="Times New Roman" w:eastAsia="Times New Roman" w:hAnsi="Times New Roman"/>
                <w:sz w:val="20"/>
                <w:szCs w:val="20"/>
                <w:color w:val="auto"/>
              </w:rPr>
              <w:t>(100.0)%</w:t>
            </w:r>
          </w:p>
        </w:tc>
        <w:tc>
          <w:tcPr>
            <w:tcW w:w="0" w:type="dxa"/>
            <w:vAlign w:val="bottom"/>
          </w:tcPr>
          <w:p>
            <w:pPr>
              <w:spacing w:after="0"/>
              <w:rPr>
                <w:sz w:val="1"/>
                <w:szCs w:val="1"/>
                <w:color w:val="auto"/>
              </w:rPr>
            </w:pPr>
          </w:p>
        </w:tc>
      </w:tr>
      <w:tr>
        <w:trPr>
          <w:trHeight w:val="20"/>
        </w:trPr>
        <w:tc>
          <w:tcPr>
            <w:tcW w:w="4680" w:type="dxa"/>
            <w:vAlign w:val="bottom"/>
            <w:tcBorders>
              <w:top w:val="single" w:sz="8" w:color="EAEAEA"/>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Net (loss) income before income taxes</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EAEA"/>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80" w:type="dxa"/>
            <w:vAlign w:val="bottom"/>
            <w:tcBorders>
              <w:top w:val="single" w:sz="8" w:color="EAEAEA"/>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EAEA"/>
            </w:tcBorders>
            <w:vMerge w:val="restart"/>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EA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6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(20,305)</w:t>
            </w:r>
          </w:p>
        </w:tc>
        <w:tc>
          <w:tcPr>
            <w:tcW w:w="2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4,889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(25,194)</w:t>
            </w:r>
          </w:p>
        </w:tc>
        <w:tc>
          <w:tcPr>
            <w:tcW w:w="200" w:type="dxa"/>
            <w:vAlign w:val="bottom"/>
            <w:vMerge w:val="continue"/>
          </w:tcPr>
          <w:p>
            <w:pPr>
              <w:spacing w:after="0"/>
              <w:rPr>
                <w:sz w:val="19"/>
                <w:szCs w:val="19"/>
                <w:color w:val="auto"/>
              </w:rPr>
            </w:pPr>
          </w:p>
        </w:tc>
        <w:tc>
          <w:tcPr>
            <w:tcW w:w="1120" w:type="dxa"/>
            <w:vAlign w:val="bottom"/>
            <w:gridSpan w:val="2"/>
          </w:tcPr>
          <w:p>
            <w:pPr>
              <w:jc w:val="right"/>
              <w:ind w:right="60"/>
              <w:spacing w:after="0" w:line="219" w:lineRule="exact"/>
              <w:rPr>
                <w:sz w:val="20"/>
                <w:szCs w:val="20"/>
                <w:color w:val="auto"/>
              </w:rPr>
            </w:pPr>
            <w:r>
              <w:rPr>
                <w:rFonts w:ascii="Times New Roman" w:cs="Times New Roman" w:eastAsia="Times New Roman" w:hAnsi="Times New Roman"/>
                <w:sz w:val="20"/>
                <w:szCs w:val="20"/>
                <w:color w:val="auto"/>
              </w:rPr>
              <w:t>(515.3)%</w:t>
            </w:r>
          </w:p>
        </w:tc>
        <w:tc>
          <w:tcPr>
            <w:tcW w:w="0" w:type="dxa"/>
            <w:vAlign w:val="bottom"/>
          </w:tcPr>
          <w:p>
            <w:pPr>
              <w:spacing w:after="0"/>
              <w:rPr>
                <w:sz w:val="1"/>
                <w:szCs w:val="1"/>
                <w:color w:val="auto"/>
              </w:rPr>
            </w:pPr>
          </w:p>
        </w:tc>
      </w:tr>
      <w:tr>
        <w:trPr>
          <w:trHeight w:val="244"/>
        </w:trPr>
        <w:tc>
          <w:tcPr>
            <w:tcW w:w="4680" w:type="dxa"/>
            <w:vAlign w:val="bottom"/>
            <w:shd w:val="clear" w:color="auto" w:fill="EAEAEA"/>
          </w:tcPr>
          <w:p>
            <w:pPr>
              <w:ind w:left="100"/>
              <w:spacing w:after="0"/>
              <w:rPr>
                <w:sz w:val="20"/>
                <w:szCs w:val="20"/>
                <w:color w:val="auto"/>
              </w:rPr>
            </w:pPr>
            <w:r>
              <w:rPr>
                <w:rFonts w:ascii="Times New Roman" w:cs="Times New Roman" w:eastAsia="Times New Roman" w:hAnsi="Times New Roman"/>
                <w:sz w:val="20"/>
                <w:szCs w:val="20"/>
                <w:color w:val="auto"/>
              </w:rPr>
              <w:t>(Benefit) provision for income taxes</w:t>
            </w:r>
          </w:p>
        </w:tc>
        <w:tc>
          <w:tcPr>
            <w:tcW w:w="140" w:type="dxa"/>
            <w:vAlign w:val="bottom"/>
            <w:shd w:val="clear" w:color="auto" w:fill="EAEAEA"/>
          </w:tcPr>
          <w:p>
            <w:pPr>
              <w:spacing w:after="0"/>
              <w:rPr>
                <w:sz w:val="21"/>
                <w:szCs w:val="21"/>
                <w:color w:val="auto"/>
              </w:rPr>
            </w:pPr>
          </w:p>
        </w:tc>
        <w:tc>
          <w:tcPr>
            <w:tcW w:w="1040" w:type="dxa"/>
            <w:vAlign w:val="bottom"/>
            <w:gridSpan w:val="2"/>
            <w:shd w:val="clear" w:color="auto" w:fill="EAEAEA"/>
          </w:tcPr>
          <w:p>
            <w:pPr>
              <w:jc w:val="right"/>
              <w:ind w:right="120"/>
              <w:spacing w:after="0"/>
              <w:rPr>
                <w:sz w:val="20"/>
                <w:szCs w:val="20"/>
                <w:color w:val="auto"/>
              </w:rPr>
            </w:pPr>
            <w:r>
              <w:rPr>
                <w:rFonts w:ascii="Times New Roman" w:cs="Times New Roman" w:eastAsia="Times New Roman" w:hAnsi="Times New Roman"/>
                <w:sz w:val="20"/>
                <w:szCs w:val="20"/>
                <w:color w:val="auto"/>
              </w:rPr>
              <w:t>(930)</w:t>
            </w:r>
          </w:p>
        </w:tc>
        <w:tc>
          <w:tcPr>
            <w:tcW w:w="220" w:type="dxa"/>
            <w:vAlign w:val="bottom"/>
            <w:shd w:val="clear" w:color="auto" w:fill="EAEAEA"/>
          </w:tcPr>
          <w:p>
            <w:pPr>
              <w:spacing w:after="0"/>
              <w:rPr>
                <w:sz w:val="21"/>
                <w:szCs w:val="21"/>
                <w:color w:val="auto"/>
              </w:rPr>
            </w:pPr>
          </w:p>
        </w:tc>
        <w:tc>
          <w:tcPr>
            <w:tcW w:w="7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357</w:t>
            </w:r>
          </w:p>
        </w:tc>
        <w:tc>
          <w:tcPr>
            <w:tcW w:w="12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1040" w:type="dxa"/>
            <w:vAlign w:val="bottom"/>
            <w:gridSpan w:val="2"/>
            <w:shd w:val="clear" w:color="auto" w:fill="EAEAEA"/>
          </w:tcPr>
          <w:p>
            <w:pPr>
              <w:jc w:val="right"/>
              <w:ind w:right="140"/>
              <w:spacing w:after="0"/>
              <w:rPr>
                <w:sz w:val="20"/>
                <w:szCs w:val="20"/>
                <w:color w:val="auto"/>
              </w:rPr>
            </w:pPr>
            <w:r>
              <w:rPr>
                <w:rFonts w:ascii="Times New Roman" w:cs="Times New Roman" w:eastAsia="Times New Roman" w:hAnsi="Times New Roman"/>
                <w:sz w:val="20"/>
                <w:szCs w:val="20"/>
                <w:color w:val="auto"/>
              </w:rPr>
              <w:t>(1,287)</w:t>
            </w:r>
          </w:p>
        </w:tc>
        <w:tc>
          <w:tcPr>
            <w:tcW w:w="1120" w:type="dxa"/>
            <w:vAlign w:val="bottom"/>
            <w:gridSpan w:val="2"/>
            <w:shd w:val="clear" w:color="auto" w:fill="EAEAEA"/>
          </w:tcPr>
          <w:p>
            <w:pPr>
              <w:jc w:val="right"/>
              <w:ind w:right="60"/>
              <w:spacing w:after="0"/>
              <w:rPr>
                <w:sz w:val="20"/>
                <w:szCs w:val="20"/>
                <w:color w:val="auto"/>
              </w:rPr>
            </w:pPr>
            <w:r>
              <w:rPr>
                <w:rFonts w:ascii="Times New Roman" w:cs="Times New Roman" w:eastAsia="Times New Roman" w:hAnsi="Times New Roman"/>
                <w:sz w:val="20"/>
                <w:szCs w:val="20"/>
                <w:color w:val="auto"/>
              </w:rPr>
              <w:t>(360.5)%</w:t>
            </w:r>
          </w:p>
        </w:tc>
        <w:tc>
          <w:tcPr>
            <w:tcW w:w="0" w:type="dxa"/>
            <w:vAlign w:val="bottom"/>
          </w:tcPr>
          <w:p>
            <w:pPr>
              <w:spacing w:after="0"/>
              <w:rPr>
                <w:sz w:val="1"/>
                <w:szCs w:val="1"/>
                <w:color w:val="auto"/>
              </w:rPr>
            </w:pPr>
          </w:p>
        </w:tc>
      </w:tr>
      <w:tr>
        <w:trPr>
          <w:trHeight w:val="20"/>
        </w:trPr>
        <w:tc>
          <w:tcPr>
            <w:tcW w:w="4680" w:type="dxa"/>
            <w:vAlign w:val="bottom"/>
            <w:tcBorders>
              <w:top w:val="single" w:sz="8" w:color="EAEAEA"/>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Net (loss) income</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EAEA"/>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80" w:type="dxa"/>
            <w:vAlign w:val="bottom"/>
            <w:tcBorders>
              <w:top w:val="single" w:sz="8" w:color="EAEAEA"/>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EAEA"/>
            </w:tcBorders>
            <w:vMerge w:val="restart"/>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EA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6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(19,375)</w:t>
            </w:r>
          </w:p>
        </w:tc>
        <w:tc>
          <w:tcPr>
            <w:tcW w:w="2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4,532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(23,907)</w:t>
            </w:r>
          </w:p>
        </w:tc>
        <w:tc>
          <w:tcPr>
            <w:tcW w:w="200" w:type="dxa"/>
            <w:vAlign w:val="bottom"/>
            <w:vMerge w:val="continue"/>
          </w:tcPr>
          <w:p>
            <w:pPr>
              <w:spacing w:after="0"/>
              <w:rPr>
                <w:sz w:val="19"/>
                <w:szCs w:val="19"/>
                <w:color w:val="auto"/>
              </w:rPr>
            </w:pPr>
          </w:p>
        </w:tc>
        <w:tc>
          <w:tcPr>
            <w:tcW w:w="1120" w:type="dxa"/>
            <w:vAlign w:val="bottom"/>
            <w:gridSpan w:val="2"/>
          </w:tcPr>
          <w:p>
            <w:pPr>
              <w:jc w:val="right"/>
              <w:ind w:right="60"/>
              <w:spacing w:after="0" w:line="219" w:lineRule="exact"/>
              <w:rPr>
                <w:sz w:val="20"/>
                <w:szCs w:val="20"/>
                <w:color w:val="auto"/>
              </w:rPr>
            </w:pPr>
            <w:r>
              <w:rPr>
                <w:rFonts w:ascii="Times New Roman" w:cs="Times New Roman" w:eastAsia="Times New Roman" w:hAnsi="Times New Roman"/>
                <w:sz w:val="20"/>
                <w:szCs w:val="20"/>
                <w:color w:val="auto"/>
              </w:rPr>
              <w:t>(527.5)%</w:t>
            </w:r>
          </w:p>
        </w:tc>
        <w:tc>
          <w:tcPr>
            <w:tcW w:w="0" w:type="dxa"/>
            <w:vAlign w:val="bottom"/>
          </w:tcPr>
          <w:p>
            <w:pPr>
              <w:spacing w:after="0"/>
              <w:rPr>
                <w:sz w:val="1"/>
                <w:szCs w:val="1"/>
                <w:color w:val="auto"/>
              </w:rPr>
            </w:pPr>
          </w:p>
        </w:tc>
      </w:tr>
      <w:tr>
        <w:trPr>
          <w:trHeight w:val="264"/>
        </w:trPr>
        <w:tc>
          <w:tcPr>
            <w:tcW w:w="46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Net (loss) income attributable to non-controlling interest</w:t>
            </w:r>
          </w:p>
        </w:tc>
        <w:tc>
          <w:tcPr>
            <w:tcW w:w="140" w:type="dxa"/>
            <w:vAlign w:val="bottom"/>
            <w:shd w:val="clear" w:color="auto" w:fill="EAEAEA"/>
          </w:tcPr>
          <w:p>
            <w:pPr>
              <w:spacing w:after="0"/>
              <w:rPr>
                <w:sz w:val="22"/>
                <w:szCs w:val="22"/>
                <w:color w:val="auto"/>
              </w:rPr>
            </w:pPr>
          </w:p>
        </w:tc>
        <w:tc>
          <w:tcPr>
            <w:tcW w:w="1040" w:type="dxa"/>
            <w:vAlign w:val="bottom"/>
            <w:gridSpan w:val="2"/>
            <w:shd w:val="clear" w:color="auto" w:fill="EAEAEA"/>
          </w:tcPr>
          <w:p>
            <w:pPr>
              <w:jc w:val="right"/>
              <w:ind w:right="120"/>
              <w:spacing w:after="0"/>
              <w:rPr>
                <w:sz w:val="20"/>
                <w:szCs w:val="20"/>
                <w:color w:val="auto"/>
              </w:rPr>
            </w:pPr>
            <w:r>
              <w:rPr>
                <w:rFonts w:ascii="Times New Roman" w:cs="Times New Roman" w:eastAsia="Times New Roman" w:hAnsi="Times New Roman"/>
                <w:sz w:val="20"/>
                <w:szCs w:val="20"/>
                <w:color w:val="auto"/>
              </w:rPr>
              <w:t>(16,349)</w:t>
            </w:r>
          </w:p>
        </w:tc>
        <w:tc>
          <w:tcPr>
            <w:tcW w:w="220" w:type="dxa"/>
            <w:vAlign w:val="bottom"/>
            <w:shd w:val="clear" w:color="auto" w:fill="EAEAEA"/>
          </w:tcPr>
          <w:p>
            <w:pPr>
              <w:spacing w:after="0"/>
              <w:rPr>
                <w:sz w:val="22"/>
                <w:szCs w:val="22"/>
                <w:color w:val="auto"/>
              </w:rPr>
            </w:pPr>
          </w:p>
        </w:tc>
        <w:tc>
          <w:tcPr>
            <w:tcW w:w="7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3,940</w:t>
            </w:r>
          </w:p>
        </w:tc>
        <w:tc>
          <w:tcPr>
            <w:tcW w:w="120" w:type="dxa"/>
            <w:vAlign w:val="bottom"/>
            <w:shd w:val="clear" w:color="auto" w:fill="EAEAEA"/>
          </w:tcPr>
          <w:p>
            <w:pPr>
              <w:spacing w:after="0"/>
              <w:rPr>
                <w:sz w:val="22"/>
                <w:szCs w:val="22"/>
                <w:color w:val="auto"/>
              </w:rPr>
            </w:pPr>
          </w:p>
        </w:tc>
        <w:tc>
          <w:tcPr>
            <w:tcW w:w="80" w:type="dxa"/>
            <w:vAlign w:val="bottom"/>
            <w:shd w:val="clear" w:color="auto" w:fill="EAEAEA"/>
          </w:tcPr>
          <w:p>
            <w:pPr>
              <w:spacing w:after="0"/>
              <w:rPr>
                <w:sz w:val="22"/>
                <w:szCs w:val="22"/>
                <w:color w:val="auto"/>
              </w:rPr>
            </w:pPr>
          </w:p>
        </w:tc>
        <w:tc>
          <w:tcPr>
            <w:tcW w:w="140" w:type="dxa"/>
            <w:vAlign w:val="bottom"/>
            <w:shd w:val="clear" w:color="auto" w:fill="EAEAEA"/>
          </w:tcPr>
          <w:p>
            <w:pPr>
              <w:spacing w:after="0"/>
              <w:rPr>
                <w:sz w:val="22"/>
                <w:szCs w:val="22"/>
                <w:color w:val="auto"/>
              </w:rPr>
            </w:pPr>
          </w:p>
        </w:tc>
        <w:tc>
          <w:tcPr>
            <w:tcW w:w="1040" w:type="dxa"/>
            <w:vAlign w:val="bottom"/>
            <w:gridSpan w:val="2"/>
            <w:shd w:val="clear" w:color="auto" w:fill="EAEAEA"/>
          </w:tcPr>
          <w:p>
            <w:pPr>
              <w:jc w:val="right"/>
              <w:ind w:right="140"/>
              <w:spacing w:after="0"/>
              <w:rPr>
                <w:sz w:val="20"/>
                <w:szCs w:val="20"/>
                <w:color w:val="auto"/>
              </w:rPr>
            </w:pPr>
            <w:r>
              <w:rPr>
                <w:rFonts w:ascii="Times New Roman" w:cs="Times New Roman" w:eastAsia="Times New Roman" w:hAnsi="Times New Roman"/>
                <w:sz w:val="20"/>
                <w:szCs w:val="20"/>
                <w:color w:val="auto"/>
              </w:rPr>
              <w:t>(20,289)</w:t>
            </w:r>
          </w:p>
        </w:tc>
        <w:tc>
          <w:tcPr>
            <w:tcW w:w="1120" w:type="dxa"/>
            <w:vAlign w:val="bottom"/>
            <w:gridSpan w:val="2"/>
            <w:shd w:val="clear" w:color="auto" w:fill="EAEAEA"/>
          </w:tcPr>
          <w:p>
            <w:pPr>
              <w:jc w:val="right"/>
              <w:ind w:right="60"/>
              <w:spacing w:after="0"/>
              <w:rPr>
                <w:sz w:val="20"/>
                <w:szCs w:val="20"/>
                <w:color w:val="auto"/>
              </w:rPr>
            </w:pPr>
            <w:r>
              <w:rPr>
                <w:rFonts w:ascii="Times New Roman" w:cs="Times New Roman" w:eastAsia="Times New Roman" w:hAnsi="Times New Roman"/>
                <w:sz w:val="20"/>
                <w:szCs w:val="20"/>
                <w:color w:val="auto"/>
              </w:rPr>
              <w:t>(514.9)%</w:t>
            </w:r>
          </w:p>
        </w:tc>
        <w:tc>
          <w:tcPr>
            <w:tcW w:w="0" w:type="dxa"/>
            <w:vAlign w:val="bottom"/>
          </w:tcPr>
          <w:p>
            <w:pPr>
              <w:spacing w:after="0"/>
              <w:rPr>
                <w:sz w:val="1"/>
                <w:szCs w:val="1"/>
                <w:color w:val="auto"/>
              </w:rPr>
            </w:pPr>
          </w:p>
        </w:tc>
      </w:tr>
      <w:tr>
        <w:trPr>
          <w:trHeight w:val="200"/>
        </w:trPr>
        <w:tc>
          <w:tcPr>
            <w:tcW w:w="4680" w:type="dxa"/>
            <w:vAlign w:val="bottom"/>
            <w:tcBorders>
              <w:top w:val="single" w:sz="8" w:color="EAEAEA"/>
            </w:tcBorders>
          </w:tcPr>
          <w:p>
            <w:pPr>
              <w:ind w:left="400"/>
              <w:spacing w:after="0" w:line="200" w:lineRule="exact"/>
              <w:rPr>
                <w:sz w:val="20"/>
                <w:szCs w:val="20"/>
                <w:color w:val="auto"/>
              </w:rPr>
            </w:pPr>
            <w:r>
              <w:rPr>
                <w:rFonts w:ascii="Times New Roman" w:cs="Times New Roman" w:eastAsia="Times New Roman" w:hAnsi="Times New Roman"/>
                <w:sz w:val="20"/>
                <w:szCs w:val="20"/>
                <w:color w:val="auto"/>
              </w:rPr>
              <w:t>Net (loss) income attributable to GEN Restaurant</w:t>
            </w: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EAEAEA"/>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EAEAEA"/>
            </w:tcBorders>
          </w:tcPr>
          <w:p>
            <w:pPr>
              <w:spacing w:after="0"/>
              <w:rPr>
                <w:sz w:val="17"/>
                <w:szCs w:val="17"/>
                <w:color w:val="auto"/>
              </w:rPr>
            </w:pPr>
          </w:p>
        </w:tc>
        <w:tc>
          <w:tcPr>
            <w:tcW w:w="80" w:type="dxa"/>
            <w:vAlign w:val="bottom"/>
            <w:tcBorders>
              <w:top w:val="single" w:sz="8" w:color="EAEAEA"/>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EAEAEA"/>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Borders>
              <w:top w:val="single" w:sz="8" w:color="EAEAEA"/>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6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Group, Inc.</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(3,026)</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w:t>
            </w:r>
          </w:p>
        </w:tc>
        <w:tc>
          <w:tcPr>
            <w:tcW w:w="120" w:type="dxa"/>
            <w:vAlign w:val="bottom"/>
          </w:tcPr>
          <w:p>
            <w:pPr>
              <w:spacing w:after="0"/>
              <w:rPr>
                <w:sz w:val="21"/>
                <w:szCs w:val="21"/>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(3,618)</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(611.1)%</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5229225</wp:posOffset>
                </wp:positionH>
                <wp:positionV relativeFrom="paragraph">
                  <wp:posOffset>-3029585</wp:posOffset>
                </wp:positionV>
                <wp:extent cx="529590" cy="15494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9590" cy="154940"/>
                        </a:xfrm>
                        <a:prstGeom prst="rect">
                          <a:avLst/>
                        </a:prstGeom>
                        <a:solidFill>
                          <a:srgbClr val="EAEAEA"/>
                        </a:solidFill>
                      </wps:spPr>
                      <wps:bodyPr/>
                    </wps:wsp>
                  </a:graphicData>
                </a:graphic>
              </wp:anchor>
            </w:drawing>
          </mc:Choice>
          <mc:Fallback>
            <w:pict>
              <v:rect id="Shape 20" o:spid="_x0000_s1045" style="position:absolute;margin-left:411.75pt;margin-top:-238.5499pt;width:41.7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5758815</wp:posOffset>
                </wp:positionH>
                <wp:positionV relativeFrom="paragraph">
                  <wp:posOffset>-3039110</wp:posOffset>
                </wp:positionV>
                <wp:extent cx="184785" cy="164465"/>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785" cy="164465"/>
                        </a:xfrm>
                        <a:prstGeom prst="rect">
                          <a:avLst/>
                        </a:prstGeom>
                        <a:solidFill>
                          <a:srgbClr val="EAEAEA"/>
                        </a:solidFill>
                      </wps:spPr>
                      <wps:bodyPr/>
                    </wps:wsp>
                  </a:graphicData>
                </a:graphic>
              </wp:anchor>
            </w:drawing>
          </mc:Choice>
          <mc:Fallback>
            <w:pict>
              <v:rect id="Shape 21" o:spid="_x0000_s1046" style="position:absolute;margin-left:453.45pt;margin-top:-239.2999pt;width:14.5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5229225</wp:posOffset>
                </wp:positionH>
                <wp:positionV relativeFrom="paragraph">
                  <wp:posOffset>-2071370</wp:posOffset>
                </wp:positionV>
                <wp:extent cx="529590" cy="15494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9590" cy="154940"/>
                        </a:xfrm>
                        <a:prstGeom prst="rect">
                          <a:avLst/>
                        </a:prstGeom>
                        <a:solidFill>
                          <a:srgbClr val="EAEAEA"/>
                        </a:solidFill>
                      </wps:spPr>
                      <wps:bodyPr/>
                    </wps:wsp>
                  </a:graphicData>
                </a:graphic>
              </wp:anchor>
            </w:drawing>
          </mc:Choice>
          <mc:Fallback>
            <w:pict>
              <v:rect id="Shape 22" o:spid="_x0000_s1047" style="position:absolute;margin-left:411.75pt;margin-top:-163.0999pt;width:41.7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w:r>
    </w:p>
    <w:p>
      <w:pPr>
        <w:sectPr>
          <w:pgSz w:w="12240" w:h="15840" w:orient="portrait"/>
          <w:cols w:equalWidth="0" w:num="1">
            <w:col w:w="9540"/>
          </w:cols>
          <w:pgMar w:left="1260" w:top="1232"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540"/>
          </w:cols>
          <w:pgMar w:left="1260" w:top="1232" w:right="1440" w:bottom="355" w:gutter="0" w:footer="0" w:header="0"/>
          <w:type w:val="continuous"/>
        </w:sectPr>
      </w:pPr>
    </w:p>
    <w:bookmarkStart w:id="50" w:name="page51"/>
    <w:bookmarkEnd w:id="50"/>
    <w:p>
      <w:pPr>
        <w:jc w:val="center"/>
        <w:ind w:left="5680"/>
        <w:spacing w:after="0"/>
        <w:rPr>
          <w:sz w:val="20"/>
          <w:szCs w:val="20"/>
          <w:color w:val="auto"/>
        </w:rPr>
      </w:pPr>
      <w:r>
        <w:rPr>
          <w:rFonts w:ascii="Times New Roman" w:cs="Times New Roman" w:eastAsia="Times New Roman" w:hAnsi="Times New Roman"/>
          <w:sz w:val="20"/>
          <w:szCs w:val="20"/>
          <w:b w:val="1"/>
          <w:bCs w:val="1"/>
          <w:color w:val="auto"/>
        </w:rPr>
        <w:t>% of Revenue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3988435</wp:posOffset>
                </wp:positionH>
                <wp:positionV relativeFrom="paragraph">
                  <wp:posOffset>19685</wp:posOffset>
                </wp:positionV>
                <wp:extent cx="182054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054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4.05pt,1.55pt" to="457.4pt,1.55pt" o:allowincell="f" strokecolor="#000000" strokeweight="0.75pt"/>
            </w:pict>
          </mc:Fallback>
        </mc:AlternateContent>
      </w:r>
    </w:p>
    <w:p>
      <w:pPr>
        <w:spacing w:after="0" w:line="7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5"/>
          <w:szCs w:val="15"/>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3988435</wp:posOffset>
                </wp:positionH>
                <wp:positionV relativeFrom="paragraph">
                  <wp:posOffset>24130</wp:posOffset>
                </wp:positionV>
                <wp:extent cx="182054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054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4.05pt,1.9pt" to="457.4pt,1.9pt" o:allowincell="f" strokecolor="#000000" strokeweight="0.75pt"/>
            </w:pict>
          </mc:Fallback>
        </mc:AlternateContent>
      </w:r>
    </w:p>
    <w:p>
      <w:pPr>
        <w:sectPr>
          <w:pgSz w:w="12240" w:h="15840" w:orient="portrait"/>
          <w:cols w:equalWidth="0" w:num="1">
            <w:col w:w="9540"/>
          </w:cols>
          <w:pgMar w:left="1260" w:top="1264" w:right="1440" w:bottom="355" w:gutter="0" w:footer="0" w:header="0"/>
        </w:sect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Revenue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-151130</wp:posOffset>
                </wp:positionV>
                <wp:extent cx="3988435" cy="17272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88435" cy="172720"/>
                        </a:xfrm>
                        <a:prstGeom prst="rect">
                          <a:avLst/>
                        </a:prstGeom>
                        <a:solidFill>
                          <a:srgbClr val="EAEAEA"/>
                        </a:solidFill>
                      </wps:spPr>
                      <wps:bodyPr/>
                    </wps:wsp>
                  </a:graphicData>
                </a:graphic>
              </wp:anchor>
            </w:drawing>
          </mc:Choice>
          <mc:Fallback>
            <w:pict>
              <v:rect id="Shape 25" o:spid="_x0000_s1050" style="position:absolute;margin-left:0pt;margin-top:-11.8999pt;width:314.05pt;height:13.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Restaurant operating expenses: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16510</wp:posOffset>
                </wp:positionV>
                <wp:extent cx="5943600" cy="16383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63830"/>
                        </a:xfrm>
                        <a:prstGeom prst="rect">
                          <a:avLst/>
                        </a:prstGeom>
                        <a:solidFill>
                          <a:srgbClr val="EAEAEA"/>
                        </a:solidFill>
                      </wps:spPr>
                      <wps:bodyPr/>
                    </wps:wsp>
                  </a:graphicData>
                </a:graphic>
              </wp:anchor>
            </w:drawing>
          </mc:Choice>
          <mc:Fallback>
            <w:pict>
              <v:rect id="Shape 26" o:spid="_x0000_s1051" style="position:absolute;margin-left:0pt;margin-top:1.3pt;width:468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Food cost</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Payroll and benefits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16510</wp:posOffset>
                </wp:positionV>
                <wp:extent cx="5943600" cy="16383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63830"/>
                        </a:xfrm>
                        <a:prstGeom prst="rect">
                          <a:avLst/>
                        </a:prstGeom>
                        <a:solidFill>
                          <a:srgbClr val="EAEAEA"/>
                        </a:solidFill>
                      </wps:spPr>
                      <wps:bodyPr/>
                    </wps:wsp>
                  </a:graphicData>
                </a:graphic>
              </wp:anchor>
            </w:drawing>
          </mc:Choice>
          <mc:Fallback>
            <w:pict>
              <v:rect id="Shape 27" o:spid="_x0000_s1052" style="position:absolute;margin-left:0pt;margin-top:1.3pt;width:468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Occupancy expenses</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Operating expenses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16510</wp:posOffset>
                </wp:positionV>
                <wp:extent cx="5943600" cy="16383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63830"/>
                        </a:xfrm>
                        <a:prstGeom prst="rect">
                          <a:avLst/>
                        </a:prstGeom>
                        <a:solidFill>
                          <a:srgbClr val="EAEAEA"/>
                        </a:solidFill>
                      </wps:spPr>
                      <wps:bodyPr/>
                    </wps:wsp>
                  </a:graphicData>
                </a:graphic>
              </wp:anchor>
            </w:drawing>
          </mc:Choice>
          <mc:Fallback>
            <w:pict>
              <v:rect id="Shape 28" o:spid="_x0000_s1053" style="position:absolute;margin-left:0pt;margin-top:1.3pt;width:468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Depreciation and amortization</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Pre-opening costs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16510</wp:posOffset>
                </wp:positionV>
                <wp:extent cx="3988435" cy="173355"/>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88435" cy="173355"/>
                        </a:xfrm>
                        <a:prstGeom prst="rect">
                          <a:avLst/>
                        </a:prstGeom>
                        <a:solidFill>
                          <a:srgbClr val="EAEAEA"/>
                        </a:solidFill>
                      </wps:spPr>
                      <wps:bodyPr/>
                    </wps:wsp>
                  </a:graphicData>
                </a:graphic>
              </wp:anchor>
            </w:drawing>
          </mc:Choice>
          <mc:Fallback>
            <w:pict>
              <v:rect id="Shape 29" o:spid="_x0000_s1054" style="position:absolute;margin-left:0pt;margin-top:1.3pt;width:314.05pt;height:13.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w:r>
    </w:p>
    <w:p>
      <w:pPr>
        <w:spacing w:after="0" w:line="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Total restaurant operating expenses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General and administrative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21590</wp:posOffset>
                </wp:positionV>
                <wp:extent cx="5943600" cy="16383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63830"/>
                        </a:xfrm>
                        <a:prstGeom prst="rect">
                          <a:avLst/>
                        </a:prstGeom>
                        <a:solidFill>
                          <a:srgbClr val="EAEAEA"/>
                        </a:solidFill>
                      </wps:spPr>
                      <wps:bodyPr/>
                    </wps:wsp>
                  </a:graphicData>
                </a:graphic>
              </wp:anchor>
            </w:drawing>
          </mc:Choice>
          <mc:Fallback>
            <w:pict>
              <v:rect id="Shape 30" o:spid="_x0000_s1055" style="position:absolute;margin-left:0pt;margin-top:1.7pt;width:468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Impairment expense</w:t>
      </w:r>
    </w:p>
    <w:p>
      <w:pPr>
        <w:spacing w:after="0" w:line="28" w:lineRule="exact"/>
        <w:rPr>
          <w:sz w:val="20"/>
          <w:szCs w:val="20"/>
          <w:color w:val="auto"/>
        </w:rPr>
      </w:pPr>
    </w:p>
    <w:p>
      <w:pPr>
        <w:ind w:right="2200"/>
        <w:spacing w:after="0" w:line="272" w:lineRule="auto"/>
        <w:rPr>
          <w:sz w:val="20"/>
          <w:szCs w:val="20"/>
          <w:color w:val="auto"/>
        </w:rPr>
      </w:pPr>
      <w:r>
        <w:rPr>
          <w:rFonts w:ascii="Times New Roman" w:cs="Times New Roman" w:eastAsia="Times New Roman" w:hAnsi="Times New Roman"/>
          <w:sz w:val="20"/>
          <w:szCs w:val="20"/>
          <w:color w:val="auto"/>
        </w:rPr>
        <w:t>Depreciation and amortization - corporate (Gain) loss on lease terminations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-168275</wp:posOffset>
                </wp:positionV>
                <wp:extent cx="5943600" cy="16383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63830"/>
                        </a:xfrm>
                        <a:prstGeom prst="rect">
                          <a:avLst/>
                        </a:prstGeom>
                        <a:solidFill>
                          <a:srgbClr val="EAEAEA"/>
                        </a:solidFill>
                      </wps:spPr>
                      <wps:bodyPr/>
                    </wps:wsp>
                  </a:graphicData>
                </a:graphic>
              </wp:anchor>
            </w:drawing>
          </mc:Choice>
          <mc:Fallback>
            <w:pict>
              <v:rect id="Shape 31" o:spid="_x0000_s1056" style="position:absolute;margin-left:0pt;margin-top:-13.2499pt;width:468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w:r>
    </w:p>
    <w:p>
      <w:pPr>
        <w:ind w:left="800"/>
        <w:spacing w:after="0"/>
        <w:rPr>
          <w:sz w:val="20"/>
          <w:szCs w:val="20"/>
          <w:color w:val="auto"/>
        </w:rPr>
      </w:pPr>
      <w:r>
        <w:rPr>
          <w:rFonts w:ascii="Times New Roman" w:cs="Times New Roman" w:eastAsia="Times New Roman" w:hAnsi="Times New Roman"/>
          <w:sz w:val="20"/>
          <w:szCs w:val="20"/>
          <w:color w:val="auto"/>
        </w:rPr>
        <w:t>Total costs and expenses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21590</wp:posOffset>
                </wp:positionV>
                <wp:extent cx="3988435" cy="173355"/>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88435" cy="173355"/>
                        </a:xfrm>
                        <a:prstGeom prst="rect">
                          <a:avLst/>
                        </a:prstGeom>
                        <a:solidFill>
                          <a:srgbClr val="EAEAEA"/>
                        </a:solidFill>
                      </wps:spPr>
                      <wps:bodyPr/>
                    </wps:wsp>
                  </a:graphicData>
                </a:graphic>
              </wp:anchor>
            </w:drawing>
          </mc:Choice>
          <mc:Fallback>
            <w:pict>
              <v:rect id="Shape 32" o:spid="_x0000_s1057" style="position:absolute;margin-left:0pt;margin-top:1.7pt;width:314.05pt;height:13.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(Loss) income from operations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Employee retention credits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21590</wp:posOffset>
                </wp:positionV>
                <wp:extent cx="5943600" cy="16383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63830"/>
                        </a:xfrm>
                        <a:prstGeom prst="rect">
                          <a:avLst/>
                        </a:prstGeom>
                        <a:solidFill>
                          <a:srgbClr val="EAEAEA"/>
                        </a:solidFill>
                      </wps:spPr>
                      <wps:bodyPr/>
                    </wps:wsp>
                  </a:graphicData>
                </a:graphic>
              </wp:anchor>
            </w:drawing>
          </mc:Choice>
          <mc:Fallback>
            <w:pict>
              <v:rect id="Shape 33" o:spid="_x0000_s1058" style="position:absolute;margin-left:0pt;margin-top:1.7pt;width:468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w:r>
    </w:p>
    <w:p>
      <w:pPr>
        <w:spacing w:after="0" w:line="16" w:lineRule="exact"/>
        <w:rPr>
          <w:sz w:val="20"/>
          <w:szCs w:val="20"/>
          <w:color w:val="auto"/>
        </w:rPr>
      </w:pPr>
    </w:p>
    <w:p>
      <w:pPr>
        <w:ind w:right="1500"/>
        <w:spacing w:after="0" w:line="269" w:lineRule="auto"/>
        <w:rPr>
          <w:sz w:val="20"/>
          <w:szCs w:val="20"/>
          <w:color w:val="auto"/>
        </w:rPr>
      </w:pPr>
      <w:r>
        <w:rPr>
          <w:rFonts w:ascii="Times New Roman" w:cs="Times New Roman" w:eastAsia="Times New Roman" w:hAnsi="Times New Roman"/>
          <w:sz w:val="20"/>
          <w:szCs w:val="20"/>
          <w:color w:val="auto"/>
        </w:rPr>
        <w:t>Gain on remeasurement of previously held interest Other loss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-635</wp:posOffset>
                </wp:positionV>
                <wp:extent cx="5943600" cy="163195"/>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63195"/>
                        </a:xfrm>
                        <a:prstGeom prst="rect">
                          <a:avLst/>
                        </a:prstGeom>
                        <a:solidFill>
                          <a:srgbClr val="EAEAEA"/>
                        </a:solidFill>
                      </wps:spPr>
                      <wps:bodyPr/>
                    </wps:wsp>
                  </a:graphicData>
                </a:graphic>
              </wp:anchor>
            </w:drawing>
          </mc:Choice>
          <mc:Fallback>
            <w:pict>
              <v:rect id="Shape 34" o:spid="_x0000_s1059" style="position:absolute;margin-left:0pt;margin-top:-0.0499pt;width:468pt;height:12.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w:r>
    </w:p>
    <w:p>
      <w:pPr>
        <w:spacing w:after="0"/>
        <w:rPr>
          <w:sz w:val="20"/>
          <w:szCs w:val="20"/>
          <w:color w:val="auto"/>
        </w:rPr>
      </w:pPr>
      <w:r>
        <w:rPr>
          <w:rFonts w:ascii="Times New Roman" w:cs="Times New Roman" w:eastAsia="Times New Roman" w:hAnsi="Times New Roman"/>
          <w:sz w:val="20"/>
          <w:szCs w:val="20"/>
          <w:color w:val="auto"/>
        </w:rPr>
        <w:t>Loss on foreign currency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income (expense), net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16510</wp:posOffset>
                </wp:positionV>
                <wp:extent cx="5943600" cy="16383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63830"/>
                        </a:xfrm>
                        <a:prstGeom prst="rect">
                          <a:avLst/>
                        </a:prstGeom>
                        <a:solidFill>
                          <a:srgbClr val="EAEAEA"/>
                        </a:solidFill>
                      </wps:spPr>
                      <wps:bodyPr/>
                    </wps:wsp>
                  </a:graphicData>
                </a:graphic>
              </wp:anchor>
            </w:drawing>
          </mc:Choice>
          <mc:Fallback>
            <w:pict>
              <v:rect id="Shape 35" o:spid="_x0000_s1060" style="position:absolute;margin-left:0pt;margin-top:1.3pt;width:468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Equity in loss of equity method investee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20" w:type="dxa"/>
            <w:vAlign w:val="bottom"/>
          </w:tcPr>
          <w:p>
            <w:pPr>
              <w:spacing w:after="0"/>
              <w:rPr>
                <w:sz w:val="22"/>
                <w:szCs w:val="22"/>
                <w:color w:val="auto"/>
              </w:rPr>
            </w:pPr>
          </w:p>
        </w:tc>
      </w:tr>
      <w:tr>
        <w:trPr>
          <w:trHeight w:val="253"/>
        </w:trPr>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100%</w:t>
            </w:r>
          </w:p>
        </w:tc>
        <w:tc>
          <w:tcPr>
            <w:tcW w:w="140" w:type="dxa"/>
            <w:vAlign w:val="bottom"/>
          </w:tcPr>
          <w:p>
            <w:pPr>
              <w:spacing w:after="0"/>
              <w:rPr>
                <w:sz w:val="22"/>
                <w:szCs w:val="22"/>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100%</w:t>
            </w:r>
          </w:p>
        </w:tc>
      </w:tr>
      <w:tr>
        <w:trPr>
          <w:trHeight w:val="525"/>
        </w:trPr>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34.7%</w:t>
            </w:r>
          </w:p>
        </w:tc>
        <w:tc>
          <w:tcPr>
            <w:tcW w:w="140" w:type="dxa"/>
            <w:vAlign w:val="bottom"/>
          </w:tcPr>
          <w:p>
            <w:pPr>
              <w:spacing w:after="0"/>
              <w:rPr>
                <w:sz w:val="24"/>
                <w:szCs w:val="24"/>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33.0%</w:t>
            </w:r>
          </w:p>
        </w:tc>
      </w:tr>
      <w:tr>
        <w:trPr>
          <w:trHeight w:val="258"/>
        </w:trPr>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30.6%</w:t>
            </w:r>
          </w:p>
        </w:tc>
        <w:tc>
          <w:tcPr>
            <w:tcW w:w="140" w:type="dxa"/>
            <w:vAlign w:val="bottom"/>
          </w:tcPr>
          <w:p>
            <w:pPr>
              <w:spacing w:after="0"/>
              <w:rPr>
                <w:sz w:val="22"/>
                <w:szCs w:val="22"/>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30.9%</w:t>
            </w:r>
          </w:p>
        </w:tc>
      </w:tr>
      <w:tr>
        <w:trPr>
          <w:trHeight w:val="258"/>
        </w:trPr>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10.0%</w:t>
            </w:r>
          </w:p>
        </w:tc>
        <w:tc>
          <w:tcPr>
            <w:tcW w:w="140" w:type="dxa"/>
            <w:vAlign w:val="bottom"/>
          </w:tcPr>
          <w:p>
            <w:pPr>
              <w:spacing w:after="0"/>
              <w:rPr>
                <w:sz w:val="22"/>
                <w:szCs w:val="22"/>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8.4%</w:t>
            </w:r>
          </w:p>
        </w:tc>
      </w:tr>
      <w:tr>
        <w:trPr>
          <w:trHeight w:val="258"/>
        </w:trPr>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11.4%</w:t>
            </w:r>
          </w:p>
        </w:tc>
        <w:tc>
          <w:tcPr>
            <w:tcW w:w="140" w:type="dxa"/>
            <w:vAlign w:val="bottom"/>
          </w:tcPr>
          <w:p>
            <w:pPr>
              <w:spacing w:after="0"/>
              <w:rPr>
                <w:sz w:val="22"/>
                <w:szCs w:val="22"/>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10.3%</w:t>
            </w:r>
          </w:p>
        </w:tc>
      </w:tr>
      <w:tr>
        <w:trPr>
          <w:trHeight w:val="258"/>
        </w:trPr>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4.2%</w:t>
            </w:r>
          </w:p>
        </w:tc>
        <w:tc>
          <w:tcPr>
            <w:tcW w:w="140" w:type="dxa"/>
            <w:vAlign w:val="bottom"/>
          </w:tcPr>
          <w:p>
            <w:pPr>
              <w:spacing w:after="0"/>
              <w:rPr>
                <w:sz w:val="22"/>
                <w:szCs w:val="22"/>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3.2%</w:t>
            </w:r>
          </w:p>
        </w:tc>
      </w:tr>
      <w:tr>
        <w:trPr>
          <w:trHeight w:val="249"/>
        </w:trPr>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3.9%</w:t>
            </w:r>
          </w:p>
        </w:tc>
        <w:tc>
          <w:tcPr>
            <w:tcW w:w="14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3.7%</w:t>
            </w:r>
          </w:p>
        </w:tc>
      </w:tr>
      <w:tr>
        <w:trPr>
          <w:trHeight w:val="20"/>
        </w:trPr>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3"/>
        </w:trPr>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94.8%</w:t>
            </w:r>
          </w:p>
        </w:tc>
        <w:tc>
          <w:tcPr>
            <w:tcW w:w="140" w:type="dxa"/>
            <w:vAlign w:val="bottom"/>
          </w:tcPr>
          <w:p>
            <w:pPr>
              <w:spacing w:after="0"/>
              <w:rPr>
                <w:sz w:val="22"/>
                <w:szCs w:val="22"/>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89.5%</w:t>
            </w:r>
          </w:p>
        </w:tc>
      </w:tr>
      <w:tr>
        <w:trPr>
          <w:trHeight w:val="20"/>
        </w:trPr>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2"/>
        </w:trPr>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12.2%</w:t>
            </w:r>
          </w:p>
        </w:tc>
        <w:tc>
          <w:tcPr>
            <w:tcW w:w="140" w:type="dxa"/>
            <w:vAlign w:val="bottom"/>
          </w:tcPr>
          <w:p>
            <w:pPr>
              <w:spacing w:after="0"/>
              <w:rPr>
                <w:sz w:val="22"/>
                <w:szCs w:val="22"/>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10.2%</w:t>
            </w:r>
          </w:p>
        </w:tc>
      </w:tr>
      <w:tr>
        <w:trPr>
          <w:trHeight w:val="258"/>
        </w:trPr>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2.6%</w:t>
            </w:r>
          </w:p>
        </w:tc>
        <w:tc>
          <w:tcPr>
            <w:tcW w:w="140" w:type="dxa"/>
            <w:vAlign w:val="bottom"/>
          </w:tcPr>
          <w:p>
            <w:pPr>
              <w:spacing w:after="0"/>
              <w:rPr>
                <w:sz w:val="22"/>
                <w:szCs w:val="22"/>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0.0%</w:t>
            </w:r>
          </w:p>
        </w:tc>
      </w:tr>
      <w:tr>
        <w:trPr>
          <w:trHeight w:val="258"/>
        </w:trPr>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0.1%</w:t>
            </w:r>
          </w:p>
        </w:tc>
        <w:tc>
          <w:tcPr>
            <w:tcW w:w="140" w:type="dxa"/>
            <w:vAlign w:val="bottom"/>
          </w:tcPr>
          <w:p>
            <w:pPr>
              <w:spacing w:after="0"/>
              <w:rPr>
                <w:sz w:val="22"/>
                <w:szCs w:val="22"/>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0.1%</w:t>
            </w:r>
          </w:p>
        </w:tc>
      </w:tr>
      <w:tr>
        <w:trPr>
          <w:trHeight w:val="249"/>
        </w:trPr>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(0.2)%</w:t>
            </w:r>
          </w:p>
        </w:tc>
        <w:tc>
          <w:tcPr>
            <w:tcW w:w="14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0.0%</w:t>
            </w:r>
          </w:p>
        </w:tc>
      </w:tr>
      <w:tr>
        <w:trPr>
          <w:trHeight w:val="20"/>
        </w:trPr>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3"/>
        </w:trPr>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109.4%</w:t>
            </w:r>
          </w:p>
        </w:tc>
        <w:tc>
          <w:tcPr>
            <w:tcW w:w="140" w:type="dxa"/>
            <w:vAlign w:val="bottom"/>
          </w:tcPr>
          <w:p>
            <w:pPr>
              <w:spacing w:after="0"/>
              <w:rPr>
                <w:sz w:val="22"/>
                <w:szCs w:val="22"/>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99.8%</w:t>
            </w:r>
          </w:p>
        </w:tc>
      </w:tr>
      <w:tr>
        <w:trPr>
          <w:trHeight w:val="20"/>
        </w:trPr>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3"/>
        </w:trPr>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(9.4)%</w:t>
            </w:r>
          </w:p>
        </w:tc>
        <w:tc>
          <w:tcPr>
            <w:tcW w:w="140" w:type="dxa"/>
            <w:vAlign w:val="bottom"/>
          </w:tcPr>
          <w:p>
            <w:pPr>
              <w:spacing w:after="0"/>
              <w:rPr>
                <w:sz w:val="22"/>
                <w:szCs w:val="22"/>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0.2%</w:t>
            </w:r>
          </w:p>
        </w:tc>
      </w:tr>
      <w:tr>
        <w:trPr>
          <w:trHeight w:val="20"/>
        </w:trPr>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2"/>
        </w:trPr>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0.1%</w:t>
            </w:r>
          </w:p>
        </w:tc>
        <w:tc>
          <w:tcPr>
            <w:tcW w:w="140" w:type="dxa"/>
            <w:vAlign w:val="bottom"/>
          </w:tcPr>
          <w:p>
            <w:pPr>
              <w:spacing w:after="0"/>
              <w:rPr>
                <w:sz w:val="22"/>
                <w:szCs w:val="22"/>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0.1%</w:t>
            </w:r>
          </w:p>
        </w:tc>
      </w:tr>
      <w:tr>
        <w:trPr>
          <w:trHeight w:val="258"/>
        </w:trPr>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0.0%</w:t>
            </w:r>
          </w:p>
        </w:tc>
        <w:tc>
          <w:tcPr>
            <w:tcW w:w="140" w:type="dxa"/>
            <w:vAlign w:val="bottom"/>
          </w:tcPr>
          <w:p>
            <w:pPr>
              <w:spacing w:after="0"/>
              <w:rPr>
                <w:sz w:val="22"/>
                <w:szCs w:val="22"/>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1.6%</w:t>
            </w:r>
          </w:p>
        </w:tc>
      </w:tr>
      <w:tr>
        <w:trPr>
          <w:trHeight w:val="258"/>
        </w:trPr>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(0.2)%</w:t>
            </w:r>
          </w:p>
        </w:tc>
        <w:tc>
          <w:tcPr>
            <w:tcW w:w="140" w:type="dxa"/>
            <w:vAlign w:val="bottom"/>
          </w:tcPr>
          <w:p>
            <w:pPr>
              <w:spacing w:after="0"/>
              <w:rPr>
                <w:sz w:val="22"/>
                <w:szCs w:val="22"/>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0.0%</w:t>
            </w:r>
          </w:p>
        </w:tc>
      </w:tr>
      <w:tr>
        <w:trPr>
          <w:trHeight w:val="258"/>
        </w:trPr>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0.0%</w:t>
            </w:r>
          </w:p>
        </w:tc>
        <w:tc>
          <w:tcPr>
            <w:tcW w:w="140" w:type="dxa"/>
            <w:vAlign w:val="bottom"/>
          </w:tcPr>
          <w:p>
            <w:pPr>
              <w:spacing w:after="0"/>
              <w:rPr>
                <w:sz w:val="22"/>
                <w:szCs w:val="22"/>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0.0%</w:t>
            </w:r>
          </w:p>
        </w:tc>
      </w:tr>
      <w:tr>
        <w:trPr>
          <w:trHeight w:val="258"/>
        </w:trPr>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(0.1)%</w:t>
            </w:r>
          </w:p>
        </w:tc>
        <w:tc>
          <w:tcPr>
            <w:tcW w:w="140" w:type="dxa"/>
            <w:vAlign w:val="bottom"/>
          </w:tcPr>
          <w:p>
            <w:pPr>
              <w:spacing w:after="0"/>
              <w:rPr>
                <w:sz w:val="22"/>
                <w:szCs w:val="22"/>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0.4%</w:t>
            </w:r>
          </w:p>
        </w:tc>
      </w:tr>
      <w:tr>
        <w:trPr>
          <w:trHeight w:val="255"/>
        </w:trPr>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0.0%</w:t>
            </w:r>
          </w:p>
        </w:tc>
        <w:tc>
          <w:tcPr>
            <w:tcW w:w="140" w:type="dxa"/>
            <w:vAlign w:val="bottom"/>
          </w:tcPr>
          <w:p>
            <w:pPr>
              <w:spacing w:after="0"/>
              <w:rPr>
                <w:sz w:val="22"/>
                <w:szCs w:val="22"/>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0.0%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-3492500</wp:posOffset>
                </wp:positionV>
                <wp:extent cx="748665" cy="16383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8665" cy="163830"/>
                        </a:xfrm>
                        <a:prstGeom prst="rect">
                          <a:avLst/>
                        </a:prstGeom>
                        <a:solidFill>
                          <a:srgbClr val="EAEAEA"/>
                        </a:solidFill>
                      </wps:spPr>
                      <wps:bodyPr/>
                    </wps:wsp>
                  </a:graphicData>
                </a:graphic>
              </wp:anchor>
            </w:drawing>
          </mc:Choice>
          <mc:Fallback>
            <w:pict>
              <v:rect id="Shape 36" o:spid="_x0000_s1061" style="position:absolute;margin-left:0.05pt;margin-top:-275pt;width:58.95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749300</wp:posOffset>
                </wp:positionH>
                <wp:positionV relativeFrom="paragraph">
                  <wp:posOffset>-3502025</wp:posOffset>
                </wp:positionV>
                <wp:extent cx="282575" cy="173355"/>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2575" cy="173355"/>
                        </a:xfrm>
                        <a:prstGeom prst="rect">
                          <a:avLst/>
                        </a:prstGeom>
                        <a:solidFill>
                          <a:srgbClr val="EAEAEA"/>
                        </a:solidFill>
                      </wps:spPr>
                      <wps:bodyPr/>
                    </wps:wsp>
                  </a:graphicData>
                </a:graphic>
              </wp:anchor>
            </w:drawing>
          </mc:Choice>
          <mc:Fallback>
            <w:pict>
              <v:rect id="Shape 37" o:spid="_x0000_s1062" style="position:absolute;margin-left:59pt;margin-top:-275.7499pt;width:22.25pt;height:13.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1031875</wp:posOffset>
                </wp:positionH>
                <wp:positionV relativeFrom="paragraph">
                  <wp:posOffset>-3492500</wp:posOffset>
                </wp:positionV>
                <wp:extent cx="789940" cy="16383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9940" cy="163830"/>
                        </a:xfrm>
                        <a:prstGeom prst="rect">
                          <a:avLst/>
                        </a:prstGeom>
                        <a:solidFill>
                          <a:srgbClr val="EAEAEA"/>
                        </a:solidFill>
                      </wps:spPr>
                      <wps:bodyPr/>
                    </wps:wsp>
                  </a:graphicData>
                </a:graphic>
              </wp:anchor>
            </w:drawing>
          </mc:Choice>
          <mc:Fallback>
            <w:pict>
              <v:rect id="Shape 38" o:spid="_x0000_s1063" style="position:absolute;margin-left:81.25pt;margin-top:-275pt;width:62.2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-2171700</wp:posOffset>
                </wp:positionV>
                <wp:extent cx="748665" cy="16383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8665" cy="163830"/>
                        </a:xfrm>
                        <a:prstGeom prst="rect">
                          <a:avLst/>
                        </a:prstGeom>
                        <a:solidFill>
                          <a:srgbClr val="EAEAEA"/>
                        </a:solidFill>
                      </wps:spPr>
                      <wps:bodyPr/>
                    </wps:wsp>
                  </a:graphicData>
                </a:graphic>
              </wp:anchor>
            </w:drawing>
          </mc:Choice>
          <mc:Fallback>
            <w:pict>
              <v:rect id="Shape 39" o:spid="_x0000_s1064" style="position:absolute;margin-left:0.05pt;margin-top:-171pt;width:58.95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749300</wp:posOffset>
                </wp:positionH>
                <wp:positionV relativeFrom="paragraph">
                  <wp:posOffset>-2181225</wp:posOffset>
                </wp:positionV>
                <wp:extent cx="282575" cy="173355"/>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2575" cy="173355"/>
                        </a:xfrm>
                        <a:prstGeom prst="rect">
                          <a:avLst/>
                        </a:prstGeom>
                        <a:solidFill>
                          <a:srgbClr val="EAEAEA"/>
                        </a:solidFill>
                      </wps:spPr>
                      <wps:bodyPr/>
                    </wps:wsp>
                  </a:graphicData>
                </a:graphic>
              </wp:anchor>
            </w:drawing>
          </mc:Choice>
          <mc:Fallback>
            <w:pict>
              <v:rect id="Shape 40" o:spid="_x0000_s1065" style="position:absolute;margin-left:59pt;margin-top:-171.7499pt;width:22.25pt;height:13.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1031875</wp:posOffset>
                </wp:positionH>
                <wp:positionV relativeFrom="paragraph">
                  <wp:posOffset>-2171700</wp:posOffset>
                </wp:positionV>
                <wp:extent cx="789940" cy="16383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9940" cy="163830"/>
                        </a:xfrm>
                        <a:prstGeom prst="rect">
                          <a:avLst/>
                        </a:prstGeom>
                        <a:solidFill>
                          <a:srgbClr val="EAEAEA"/>
                        </a:solidFill>
                      </wps:spPr>
                      <wps:bodyPr/>
                    </wps:wsp>
                  </a:graphicData>
                </a:graphic>
              </wp:anchor>
            </w:drawing>
          </mc:Choice>
          <mc:Fallback>
            <w:pict>
              <v:rect id="Shape 41" o:spid="_x0000_s1066" style="position:absolute;margin-left:81.25pt;margin-top:-171pt;width:62.2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-1159510</wp:posOffset>
                </wp:positionV>
                <wp:extent cx="748665" cy="16383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8665" cy="163830"/>
                        </a:xfrm>
                        <a:prstGeom prst="rect">
                          <a:avLst/>
                        </a:prstGeom>
                        <a:solidFill>
                          <a:srgbClr val="EAEAEA"/>
                        </a:solidFill>
                      </wps:spPr>
                      <wps:bodyPr/>
                    </wps:wsp>
                  </a:graphicData>
                </a:graphic>
              </wp:anchor>
            </w:drawing>
          </mc:Choice>
          <mc:Fallback>
            <w:pict>
              <v:rect id="Shape 42" o:spid="_x0000_s1067" style="position:absolute;margin-left:0.05pt;margin-top:-91.2999pt;width:58.95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937260</wp:posOffset>
                </wp:positionH>
                <wp:positionV relativeFrom="paragraph">
                  <wp:posOffset>-1159510</wp:posOffset>
                </wp:positionV>
                <wp:extent cx="884555" cy="16383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4555" cy="163830"/>
                        </a:xfrm>
                        <a:prstGeom prst="rect">
                          <a:avLst/>
                        </a:prstGeom>
                        <a:solidFill>
                          <a:srgbClr val="EAEAEA"/>
                        </a:solidFill>
                      </wps:spPr>
                      <wps:bodyPr/>
                    </wps:wsp>
                  </a:graphicData>
                </a:graphic>
              </wp:anchor>
            </w:drawing>
          </mc:Choice>
          <mc:Fallback>
            <w:pict>
              <v:rect id="Shape 43" o:spid="_x0000_s1068" style="position:absolute;margin-left:73.8pt;margin-top:-91.2999pt;width:69.65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1270</wp:posOffset>
                </wp:positionV>
                <wp:extent cx="74866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866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0.1pt" to="59pt,0.1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1031240</wp:posOffset>
                </wp:positionH>
                <wp:positionV relativeFrom="paragraph">
                  <wp:posOffset>1270</wp:posOffset>
                </wp:positionV>
                <wp:extent cx="78994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994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2pt,0.1pt" to="143.4pt,0.1pt" o:allowincell="f" strokecolor="#000000" strokeweight="0.75pt"/>
            </w:pict>
          </mc:Fallback>
        </mc:AlternateContent>
      </w:r>
    </w:p>
    <w:p>
      <w:pPr>
        <w:spacing w:after="0" w:line="4" w:lineRule="exact"/>
        <w:rPr>
          <w:sz w:val="20"/>
          <w:szCs w:val="20"/>
          <w:color w:val="auto"/>
        </w:rPr>
      </w:pPr>
    </w:p>
    <w:p>
      <w:pPr>
        <w:sectPr>
          <w:pgSz w:w="12240" w:h="15840" w:orient="portrait"/>
          <w:cols w:equalWidth="0" w:num="2">
            <w:col w:w="5560" w:space="720"/>
            <w:col w:w="3260"/>
          </w:cols>
          <w:pgMar w:left="1260" w:top="1264" w:right="1440" w:bottom="355"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6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Net (loss) income before income taxes</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(9.6)%</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258"/>
        </w:trPr>
        <w:tc>
          <w:tcPr>
            <w:tcW w:w="6280" w:type="dxa"/>
            <w:vAlign w:val="bottom"/>
            <w:shd w:val="clear" w:color="auto" w:fill="EAEAEA"/>
          </w:tcPr>
          <w:p>
            <w:pPr>
              <w:ind w:left="100"/>
              <w:spacing w:after="0"/>
              <w:rPr>
                <w:sz w:val="20"/>
                <w:szCs w:val="20"/>
                <w:color w:val="auto"/>
              </w:rPr>
            </w:pPr>
            <w:r>
              <w:rPr>
                <w:rFonts w:ascii="Times New Roman" w:cs="Times New Roman" w:eastAsia="Times New Roman" w:hAnsi="Times New Roman"/>
                <w:sz w:val="20"/>
                <w:szCs w:val="20"/>
                <w:color w:val="auto"/>
              </w:rPr>
              <w:t>(Benefit) provision for income taxes</w:t>
            </w:r>
          </w:p>
        </w:tc>
        <w:tc>
          <w:tcPr>
            <w:tcW w:w="1620" w:type="dxa"/>
            <w:vAlign w:val="bottom"/>
            <w:gridSpan w:val="2"/>
            <w:shd w:val="clear" w:color="auto" w:fill="EAEAEA"/>
          </w:tcPr>
          <w:p>
            <w:pPr>
              <w:jc w:val="right"/>
              <w:ind w:right="200"/>
              <w:spacing w:after="0"/>
              <w:rPr>
                <w:sz w:val="20"/>
                <w:szCs w:val="20"/>
                <w:color w:val="auto"/>
              </w:rPr>
            </w:pPr>
            <w:r>
              <w:rPr>
                <w:rFonts w:ascii="Times New Roman" w:cs="Times New Roman" w:eastAsia="Times New Roman" w:hAnsi="Times New Roman"/>
                <w:sz w:val="20"/>
                <w:szCs w:val="20"/>
                <w:color w:val="auto"/>
              </w:rPr>
              <w:t>(0.4)%</w:t>
            </w:r>
          </w:p>
        </w:tc>
        <w:tc>
          <w:tcPr>
            <w:tcW w:w="1460" w:type="dxa"/>
            <w:vAlign w:val="bottom"/>
            <w:gridSpan w:val="2"/>
            <w:shd w:val="clear" w:color="auto" w:fill="EAEAEA"/>
          </w:tcPr>
          <w:p>
            <w:pPr>
              <w:jc w:val="right"/>
              <w:ind w:right="40"/>
              <w:spacing w:after="0"/>
              <w:rPr>
                <w:sz w:val="20"/>
                <w:szCs w:val="20"/>
                <w:color w:val="auto"/>
              </w:rPr>
            </w:pPr>
            <w:r>
              <w:rPr>
                <w:rFonts w:ascii="Times New Roman" w:cs="Times New Roman" w:eastAsia="Times New Roman" w:hAnsi="Times New Roman"/>
                <w:sz w:val="20"/>
                <w:szCs w:val="20"/>
                <w:color w:val="auto"/>
              </w:rPr>
              <w:t>0.2%</w:t>
            </w:r>
          </w:p>
        </w:tc>
        <w:tc>
          <w:tcPr>
            <w:tcW w:w="0" w:type="dxa"/>
            <w:vAlign w:val="bottom"/>
          </w:tcPr>
          <w:p>
            <w:pPr>
              <w:spacing w:after="0"/>
              <w:rPr>
                <w:sz w:val="1"/>
                <w:szCs w:val="1"/>
                <w:color w:val="auto"/>
              </w:rPr>
            </w:pPr>
          </w:p>
        </w:tc>
      </w:tr>
      <w:tr>
        <w:trPr>
          <w:trHeight w:val="20"/>
        </w:trPr>
        <w:tc>
          <w:tcPr>
            <w:tcW w:w="6280" w:type="dxa"/>
            <w:vAlign w:val="bottom"/>
            <w:tcBorders>
              <w:top w:val="single" w:sz="8" w:color="EAEAEA"/>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Net (loss) income</w:t>
            </w: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EAEAEA"/>
            </w:tcBorders>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280" w:type="dxa"/>
            <w:vAlign w:val="bottom"/>
            <w:vMerge w:val="continue"/>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(9.1)%</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58"/>
        </w:trPr>
        <w:tc>
          <w:tcPr>
            <w:tcW w:w="62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Net (loss) income attributable to non-controlling interest</w:t>
            </w:r>
          </w:p>
        </w:tc>
        <w:tc>
          <w:tcPr>
            <w:tcW w:w="1620" w:type="dxa"/>
            <w:vAlign w:val="bottom"/>
            <w:gridSpan w:val="2"/>
            <w:shd w:val="clear" w:color="auto" w:fill="EAEAEA"/>
          </w:tcPr>
          <w:p>
            <w:pPr>
              <w:jc w:val="right"/>
              <w:ind w:right="200"/>
              <w:spacing w:after="0"/>
              <w:rPr>
                <w:sz w:val="20"/>
                <w:szCs w:val="20"/>
                <w:color w:val="auto"/>
              </w:rPr>
            </w:pPr>
            <w:r>
              <w:rPr>
                <w:rFonts w:ascii="Times New Roman" w:cs="Times New Roman" w:eastAsia="Times New Roman" w:hAnsi="Times New Roman"/>
                <w:sz w:val="20"/>
                <w:szCs w:val="20"/>
                <w:color w:val="auto"/>
              </w:rPr>
              <w:t>(7.7)%</w:t>
            </w:r>
          </w:p>
        </w:tc>
        <w:tc>
          <w:tcPr>
            <w:tcW w:w="1460" w:type="dxa"/>
            <w:vAlign w:val="bottom"/>
            <w:gridSpan w:val="2"/>
            <w:shd w:val="clear" w:color="auto" w:fill="EAEAEA"/>
          </w:tcPr>
          <w:p>
            <w:pPr>
              <w:jc w:val="right"/>
              <w:ind w:right="40"/>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20"/>
        </w:trPr>
        <w:tc>
          <w:tcPr>
            <w:tcW w:w="6280" w:type="dxa"/>
            <w:vAlign w:val="bottom"/>
            <w:tcBorders>
              <w:top w:val="single" w:sz="8" w:color="EAEAEA"/>
            </w:tcBorders>
            <w:vMerge w:val="restart"/>
          </w:tcPr>
          <w:p>
            <w:pPr>
              <w:ind w:left="400"/>
              <w:spacing w:after="0"/>
              <w:rPr>
                <w:sz w:val="20"/>
                <w:szCs w:val="20"/>
                <w:color w:val="auto"/>
              </w:rPr>
            </w:pPr>
            <w:r>
              <w:rPr>
                <w:rFonts w:ascii="Times New Roman" w:cs="Times New Roman" w:eastAsia="Times New Roman" w:hAnsi="Times New Roman"/>
                <w:sz w:val="20"/>
                <w:szCs w:val="20"/>
                <w:color w:val="auto"/>
              </w:rPr>
              <w:t>Net (loss) income attributable to GEN Restaurant Group, Inc.</w:t>
            </w: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EAEAEA"/>
            </w:tcBorders>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280" w:type="dxa"/>
            <w:vAlign w:val="bottom"/>
            <w:vMerge w:val="continue"/>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(1.4)%</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0.3%</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90"/>
        <w:spacing w:after="0" w:line="236" w:lineRule="auto"/>
        <w:rPr>
          <w:sz w:val="20"/>
          <w:szCs w:val="20"/>
          <w:color w:val="auto"/>
        </w:rPr>
      </w:pPr>
      <w:r>
        <w:rPr>
          <w:rFonts w:ascii="Times New Roman" w:cs="Times New Roman" w:eastAsia="Times New Roman" w:hAnsi="Times New Roman"/>
          <w:sz w:val="20"/>
          <w:szCs w:val="20"/>
          <w:i w:val="1"/>
          <w:iCs w:val="1"/>
          <w:color w:val="auto"/>
        </w:rPr>
        <w:t>Revenues</w:t>
      </w:r>
      <w:r>
        <w:rPr>
          <w:rFonts w:ascii="Times New Roman" w:cs="Times New Roman" w:eastAsia="Times New Roman" w:hAnsi="Times New Roman"/>
          <w:sz w:val="20"/>
          <w:szCs w:val="20"/>
          <w:color w:val="auto"/>
        </w:rPr>
        <w:t>. Revenues were $212.5 million for the year ended December 31, 2025, compared to $208.4 million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the year ended December 31, 2024, an increase of $4.2 million, or 2.0%. This primarily reflects having 57 restaurants open in the year ended December 31, 2025 compared to 43 restaurants open in the year ended December 31, 2024.</w:t>
      </w:r>
    </w:p>
    <w:p>
      <w:pPr>
        <w:spacing w:after="0" w:line="191" w:lineRule="exact"/>
        <w:rPr>
          <w:sz w:val="20"/>
          <w:szCs w:val="20"/>
          <w:color w:val="auto"/>
        </w:rPr>
      </w:pPr>
    </w:p>
    <w:p>
      <w:pPr>
        <w:ind w:right="300" w:firstLine="490"/>
        <w:spacing w:after="0" w:line="236" w:lineRule="auto"/>
        <w:rPr>
          <w:sz w:val="20"/>
          <w:szCs w:val="20"/>
          <w:color w:val="auto"/>
        </w:rPr>
      </w:pPr>
      <w:r>
        <w:rPr>
          <w:rFonts w:ascii="Times New Roman" w:cs="Times New Roman" w:eastAsia="Times New Roman" w:hAnsi="Times New Roman"/>
          <w:sz w:val="20"/>
          <w:szCs w:val="20"/>
          <w:i w:val="1"/>
          <w:iCs w:val="1"/>
          <w:color w:val="auto"/>
        </w:rPr>
        <w:t>Food costs</w:t>
      </w:r>
      <w:r>
        <w:rPr>
          <w:rFonts w:ascii="Times New Roman" w:cs="Times New Roman" w:eastAsia="Times New Roman" w:hAnsi="Times New Roman"/>
          <w:sz w:val="20"/>
          <w:szCs w:val="20"/>
          <w:color w:val="auto"/>
        </w:rPr>
        <w:t>. Food costs were $73.8 million for the year ended December 31, 2025, compared to $68.7 million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the year ended December 31, 2024, an increase of $5.1 million, or 7.4%. The increase in food costs primarily reflects more restaurants in operation and inflationary cost increases. As a percentage of revenue, food costs increased from 33.0% to 34.6%.</w:t>
      </w:r>
    </w:p>
    <w:p>
      <w:pPr>
        <w:spacing w:after="0" w:line="191" w:lineRule="exact"/>
        <w:rPr>
          <w:sz w:val="20"/>
          <w:szCs w:val="20"/>
          <w:color w:val="auto"/>
        </w:rPr>
      </w:pPr>
    </w:p>
    <w:p>
      <w:pPr>
        <w:ind w:right="200" w:firstLine="490"/>
        <w:spacing w:after="0" w:line="236" w:lineRule="auto"/>
        <w:rPr>
          <w:sz w:val="20"/>
          <w:szCs w:val="20"/>
          <w:color w:val="auto"/>
        </w:rPr>
      </w:pPr>
      <w:r>
        <w:rPr>
          <w:rFonts w:ascii="Times New Roman" w:cs="Times New Roman" w:eastAsia="Times New Roman" w:hAnsi="Times New Roman"/>
          <w:sz w:val="20"/>
          <w:szCs w:val="20"/>
          <w:i w:val="1"/>
          <w:iCs w:val="1"/>
          <w:color w:val="auto"/>
        </w:rPr>
        <w:t>Payroll and benefits</w:t>
      </w:r>
      <w:r>
        <w:rPr>
          <w:rFonts w:ascii="Times New Roman" w:cs="Times New Roman" w:eastAsia="Times New Roman" w:hAnsi="Times New Roman"/>
          <w:sz w:val="20"/>
          <w:szCs w:val="20"/>
          <w:color w:val="auto"/>
        </w:rPr>
        <w:t>. Payroll and benefits costs were $64.9 million for the year ended December 31, 2025,</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compared to $64.3 million for the year ended December 31, 2024, an increase of $0.6 million, or 1.0%. The increase in payroll and benefits costs is primarily due to new restaurants, partially offset by labor efficiencies implemented. As a percentage of revenue, payroll and benefits costs decreased from 30.9% to 30.4%.</w:t>
      </w:r>
    </w:p>
    <w:p>
      <w:pPr>
        <w:spacing w:after="0" w:line="191" w:lineRule="exact"/>
        <w:rPr>
          <w:sz w:val="20"/>
          <w:szCs w:val="20"/>
          <w:color w:val="auto"/>
        </w:rPr>
      </w:pPr>
    </w:p>
    <w:p>
      <w:pPr>
        <w:ind w:right="760" w:firstLine="490"/>
        <w:spacing w:after="0" w:line="236" w:lineRule="auto"/>
        <w:rPr>
          <w:sz w:val="20"/>
          <w:szCs w:val="20"/>
          <w:color w:val="auto"/>
        </w:rPr>
      </w:pPr>
      <w:r>
        <w:rPr>
          <w:rFonts w:ascii="Times New Roman" w:cs="Times New Roman" w:eastAsia="Times New Roman" w:hAnsi="Times New Roman"/>
          <w:sz w:val="20"/>
          <w:szCs w:val="20"/>
          <w:i w:val="1"/>
          <w:iCs w:val="1"/>
          <w:color w:val="auto"/>
        </w:rPr>
        <w:t>Occupancy expenses</w:t>
      </w:r>
      <w:r>
        <w:rPr>
          <w:rFonts w:ascii="Times New Roman" w:cs="Times New Roman" w:eastAsia="Times New Roman" w:hAnsi="Times New Roman"/>
          <w:sz w:val="20"/>
          <w:szCs w:val="20"/>
          <w:color w:val="auto"/>
        </w:rPr>
        <w:t>. Occupancy expenses were $21.2 million for the year ended December 31, 2025</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compared to $17.5 million for the year ended December 31, 2024, an increase of $3.7 million, or 21.0%. The increase in occupancy expenses reflects the addition of 15 new locations in 2025. As a percentage of revenue, occupancy expenses increased from 8.4% in 2024 compared to 10.0% in 2025.</w:t>
      </w:r>
    </w:p>
    <w:p>
      <w:pPr>
        <w:spacing w:after="0" w:line="191" w:lineRule="exact"/>
        <w:rPr>
          <w:sz w:val="20"/>
          <w:szCs w:val="20"/>
          <w:color w:val="auto"/>
        </w:rPr>
      </w:pPr>
    </w:p>
    <w:p>
      <w:pPr>
        <w:ind w:right="220" w:firstLine="490"/>
        <w:spacing w:after="0" w:line="287" w:lineRule="auto"/>
        <w:rPr>
          <w:sz w:val="20"/>
          <w:szCs w:val="20"/>
          <w:color w:val="auto"/>
        </w:rPr>
      </w:pPr>
      <w:r>
        <w:rPr>
          <w:rFonts w:ascii="Times New Roman" w:cs="Times New Roman" w:eastAsia="Times New Roman" w:hAnsi="Times New Roman"/>
          <w:sz w:val="19"/>
          <w:szCs w:val="19"/>
          <w:i w:val="1"/>
          <w:iCs w:val="1"/>
          <w:color w:val="auto"/>
        </w:rPr>
        <w:t>Operating expenses</w:t>
      </w:r>
      <w:r>
        <w:rPr>
          <w:rFonts w:ascii="Times New Roman" w:cs="Times New Roman" w:eastAsia="Times New Roman" w:hAnsi="Times New Roman"/>
          <w:sz w:val="19"/>
          <w:szCs w:val="19"/>
          <w:color w:val="auto"/>
        </w:rPr>
        <w:t>. Operating expenses were $24.2 million for the year ended December 31, 2025 compared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$21.5 million for the year ended December 31, 2024, an increase of $2.6 million, or 12.2%, as expenses increased</w:t>
      </w:r>
    </w:p>
    <w:p>
      <w:pPr>
        <w:sectPr>
          <w:pgSz w:w="12240" w:h="15840" w:orient="portrait"/>
          <w:cols w:equalWidth="0" w:num="1">
            <w:col w:w="9540"/>
          </w:cols>
          <w:pgMar w:left="1260" w:top="1264" w:right="1440" w:bottom="35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540"/>
          </w:cols>
          <w:pgMar w:left="1260" w:top="1264" w:right="1440" w:bottom="355" w:gutter="0" w:footer="0" w:header="0"/>
          <w:type w:val="continuous"/>
        </w:sectPr>
      </w:pPr>
    </w:p>
    <w:bookmarkStart w:id="51" w:name="page52"/>
    <w:bookmarkEnd w:id="51"/>
    <w:p>
      <w:pPr>
        <w:ind w:right="300"/>
        <w:spacing w:after="0" w:line="261" w:lineRule="auto"/>
        <w:rPr>
          <w:sz w:val="20"/>
          <w:szCs w:val="20"/>
          <w:color w:val="auto"/>
        </w:rPr>
      </w:pPr>
      <w:r>
        <w:rPr>
          <w:rFonts w:ascii="Times New Roman" w:cs="Times New Roman" w:eastAsia="Times New Roman" w:hAnsi="Times New Roman"/>
          <w:sz w:val="20"/>
          <w:szCs w:val="20"/>
          <w:color w:val="auto"/>
        </w:rPr>
        <w:t>to support revenue growth and reflected inflationary cost increases. As a percentage of revenue, operating expenses were 11.4% in 2025 and 10.3% in 2024.</w:t>
      </w:r>
    </w:p>
    <w:p>
      <w:pPr>
        <w:spacing w:after="0" w:line="171" w:lineRule="exact"/>
        <w:rPr>
          <w:sz w:val="20"/>
          <w:szCs w:val="20"/>
          <w:color w:val="auto"/>
        </w:rPr>
      </w:pPr>
    </w:p>
    <w:p>
      <w:pPr>
        <w:ind w:right="240" w:firstLine="490"/>
        <w:spacing w:after="0" w:line="246" w:lineRule="auto"/>
        <w:rPr>
          <w:sz w:val="20"/>
          <w:szCs w:val="20"/>
          <w:color w:val="auto"/>
        </w:rPr>
      </w:pPr>
      <w:r>
        <w:rPr>
          <w:rFonts w:ascii="Times New Roman" w:cs="Times New Roman" w:eastAsia="Times New Roman" w:hAnsi="Times New Roman"/>
          <w:sz w:val="20"/>
          <w:szCs w:val="20"/>
          <w:i w:val="1"/>
          <w:iCs w:val="1"/>
          <w:color w:val="auto"/>
        </w:rPr>
        <w:t>Depreciation and amortization expenses</w:t>
      </w:r>
      <w:r>
        <w:rPr>
          <w:rFonts w:ascii="Times New Roman" w:cs="Times New Roman" w:eastAsia="Times New Roman" w:hAnsi="Times New Roman"/>
          <w:sz w:val="20"/>
          <w:szCs w:val="20"/>
          <w:color w:val="auto"/>
        </w:rPr>
        <w:t>. Depreciation and amortization expenses were $9.0 million for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year ended December 31, 2025 and $6.7 million for the year ended December 31, 2024. As a percentage of revenue, depreciation and amortization expenses at the restaurant-level were 4.2% in 2025 and 3.2.% in 2024.</w:t>
      </w:r>
    </w:p>
    <w:p>
      <w:pPr>
        <w:spacing w:after="0" w:line="188" w:lineRule="exact"/>
        <w:rPr>
          <w:sz w:val="20"/>
          <w:szCs w:val="20"/>
          <w:color w:val="auto"/>
        </w:rPr>
      </w:pPr>
    </w:p>
    <w:p>
      <w:pPr>
        <w:jc w:val="both"/>
        <w:ind w:right="360" w:firstLine="490"/>
        <w:spacing w:after="0" w:line="246" w:lineRule="auto"/>
        <w:rPr>
          <w:sz w:val="20"/>
          <w:szCs w:val="20"/>
          <w:color w:val="auto"/>
        </w:rPr>
      </w:pPr>
      <w:r>
        <w:rPr>
          <w:rFonts w:ascii="Times New Roman" w:cs="Times New Roman" w:eastAsia="Times New Roman" w:hAnsi="Times New Roman"/>
          <w:sz w:val="20"/>
          <w:szCs w:val="20"/>
          <w:i w:val="1"/>
          <w:iCs w:val="1"/>
          <w:color w:val="auto"/>
        </w:rPr>
        <w:t>Pre-opening costs</w:t>
      </w:r>
      <w:r>
        <w:rPr>
          <w:rFonts w:ascii="Times New Roman" w:cs="Times New Roman" w:eastAsia="Times New Roman" w:hAnsi="Times New Roman"/>
          <w:sz w:val="20"/>
          <w:szCs w:val="20"/>
          <w:color w:val="auto"/>
        </w:rPr>
        <w:t>. Pre-opening costs were $8.3 million for the year ended December 31, 2025 compared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$7.6 million for the year ended December 31, 2024. This increase was due to more restaurants under development and opened in 2025 than in 2024.</w:t>
      </w:r>
    </w:p>
    <w:p>
      <w:pPr>
        <w:spacing w:after="0" w:line="188" w:lineRule="exact"/>
        <w:rPr>
          <w:sz w:val="20"/>
          <w:szCs w:val="20"/>
          <w:color w:val="auto"/>
        </w:rPr>
      </w:pPr>
    </w:p>
    <w:p>
      <w:pPr>
        <w:ind w:right="180" w:firstLine="490"/>
        <w:spacing w:after="0" w:line="237" w:lineRule="auto"/>
        <w:rPr>
          <w:sz w:val="20"/>
          <w:szCs w:val="20"/>
          <w:color w:val="auto"/>
        </w:rPr>
      </w:pPr>
      <w:r>
        <w:rPr>
          <w:rFonts w:ascii="Times New Roman" w:cs="Times New Roman" w:eastAsia="Times New Roman" w:hAnsi="Times New Roman"/>
          <w:sz w:val="20"/>
          <w:szCs w:val="20"/>
          <w:i w:val="1"/>
          <w:iCs w:val="1"/>
          <w:color w:val="auto"/>
        </w:rPr>
        <w:t>General and administrative expenses</w:t>
      </w:r>
      <w:r>
        <w:rPr>
          <w:rFonts w:ascii="Times New Roman" w:cs="Times New Roman" w:eastAsia="Times New Roman" w:hAnsi="Times New Roman"/>
          <w:sz w:val="20"/>
          <w:szCs w:val="20"/>
          <w:color w:val="auto"/>
        </w:rPr>
        <w:t>. General and administrative expenses were $25.9 million for the year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ended December 31, 2025 compared to $21.3 million for the year ended December 31, 2024, an increase of $4.6 million, or 21.6%. As a percentage of revenue, general and administrative expenses increased from 10.2% in 2024 to 12.2% in 2025 as marketing and personnel costs increased in connection with the expansion of restaurants in development.</w:t>
      </w:r>
    </w:p>
    <w:p>
      <w:pPr>
        <w:spacing w:after="0" w:line="197" w:lineRule="exact"/>
        <w:rPr>
          <w:sz w:val="20"/>
          <w:szCs w:val="20"/>
          <w:color w:val="auto"/>
        </w:rPr>
      </w:pPr>
    </w:p>
    <w:p>
      <w:pPr>
        <w:ind w:right="220" w:firstLine="490"/>
        <w:spacing w:after="0" w:line="265" w:lineRule="auto"/>
        <w:rPr>
          <w:sz w:val="20"/>
          <w:szCs w:val="20"/>
          <w:color w:val="auto"/>
        </w:rPr>
      </w:pPr>
      <w:r>
        <w:rPr>
          <w:rFonts w:ascii="Times New Roman" w:cs="Times New Roman" w:eastAsia="Times New Roman" w:hAnsi="Times New Roman"/>
          <w:sz w:val="20"/>
          <w:szCs w:val="20"/>
          <w:i w:val="1"/>
          <w:iCs w:val="1"/>
          <w:color w:val="auto"/>
        </w:rPr>
        <w:t xml:space="preserve">Impairment expense. </w:t>
      </w:r>
      <w:r>
        <w:rPr>
          <w:rFonts w:ascii="Times New Roman" w:cs="Times New Roman" w:eastAsia="Times New Roman" w:hAnsi="Times New Roman"/>
          <w:sz w:val="20"/>
          <w:szCs w:val="20"/>
          <w:color w:val="auto"/>
        </w:rPr>
        <w:t>During the fourth quarter of 2025, we recorded an asset reserve of $5.5 million related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sale of five restaurants to become equity investments.</w:t>
      </w:r>
    </w:p>
    <w:p>
      <w:pPr>
        <w:spacing w:after="0" w:line="169" w:lineRule="exact"/>
        <w:rPr>
          <w:sz w:val="20"/>
          <w:szCs w:val="20"/>
          <w:color w:val="auto"/>
        </w:rPr>
      </w:pPr>
    </w:p>
    <w:p>
      <w:pPr>
        <w:ind w:right="280" w:firstLine="490"/>
        <w:spacing w:after="0" w:line="265" w:lineRule="auto"/>
        <w:rPr>
          <w:sz w:val="20"/>
          <w:szCs w:val="20"/>
          <w:color w:val="auto"/>
        </w:rPr>
      </w:pPr>
      <w:r>
        <w:rPr>
          <w:rFonts w:ascii="Times New Roman" w:cs="Times New Roman" w:eastAsia="Times New Roman" w:hAnsi="Times New Roman"/>
          <w:sz w:val="20"/>
          <w:szCs w:val="20"/>
          <w:i w:val="1"/>
          <w:iCs w:val="1"/>
          <w:color w:val="auto"/>
        </w:rPr>
        <w:t xml:space="preserve">Gain on lease terminations. </w:t>
      </w:r>
      <w:r>
        <w:rPr>
          <w:rFonts w:ascii="Times New Roman" w:cs="Times New Roman" w:eastAsia="Times New Roman" w:hAnsi="Times New Roman"/>
          <w:sz w:val="20"/>
          <w:szCs w:val="20"/>
          <w:color w:val="auto"/>
        </w:rPr>
        <w:t>During 2025, we recorded lease termination income of $0.5 million related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closure of one restaurant.</w:t>
      </w:r>
    </w:p>
    <w:p>
      <w:pPr>
        <w:spacing w:after="0" w:line="169" w:lineRule="exact"/>
        <w:rPr>
          <w:sz w:val="20"/>
          <w:szCs w:val="20"/>
          <w:color w:val="auto"/>
        </w:rPr>
      </w:pPr>
    </w:p>
    <w:p>
      <w:pPr>
        <w:ind w:right="620" w:firstLine="490"/>
        <w:spacing w:after="0" w:line="265" w:lineRule="auto"/>
        <w:rPr>
          <w:sz w:val="20"/>
          <w:szCs w:val="20"/>
          <w:color w:val="auto"/>
        </w:rPr>
      </w:pPr>
      <w:r>
        <w:rPr>
          <w:rFonts w:ascii="Times New Roman" w:cs="Times New Roman" w:eastAsia="Times New Roman" w:hAnsi="Times New Roman"/>
          <w:sz w:val="20"/>
          <w:szCs w:val="20"/>
          <w:i w:val="1"/>
          <w:iCs w:val="1"/>
          <w:color w:val="auto"/>
        </w:rPr>
        <w:t>Employee retention credits</w:t>
      </w:r>
      <w:r>
        <w:rPr>
          <w:rFonts w:ascii="Times New Roman" w:cs="Times New Roman" w:eastAsia="Times New Roman" w:hAnsi="Times New Roman"/>
          <w:sz w:val="20"/>
          <w:szCs w:val="20"/>
          <w:color w:val="auto"/>
        </w:rPr>
        <w:t>. During both the years ended December 31, 2025 and December 31, 2024 we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received employee retention credits from the IRS in the amount of $0.3 million and $0.2 million, respectively.</w:t>
      </w:r>
    </w:p>
    <w:p>
      <w:pPr>
        <w:spacing w:after="0" w:line="175" w:lineRule="exact"/>
        <w:rPr>
          <w:sz w:val="20"/>
          <w:szCs w:val="20"/>
          <w:color w:val="auto"/>
        </w:rPr>
      </w:pPr>
    </w:p>
    <w:p>
      <w:pPr>
        <w:ind w:right="860" w:firstLine="49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Gain on remeasurement of previously held interest. </w:t>
      </w:r>
      <w:r>
        <w:rPr>
          <w:rFonts w:ascii="Times New Roman" w:cs="Times New Roman" w:eastAsia="Times New Roman" w:hAnsi="Times New Roman"/>
          <w:sz w:val="20"/>
          <w:szCs w:val="20"/>
          <w:color w:val="auto"/>
        </w:rPr>
        <w:t>This reflects the business acquisition of GKBH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restaurant in Hawaii) during the first quarter of 2024.</w:t>
      </w:r>
    </w:p>
    <w:p>
      <w:pPr>
        <w:spacing w:after="0" w:line="168" w:lineRule="exact"/>
        <w:rPr>
          <w:sz w:val="20"/>
          <w:szCs w:val="20"/>
          <w:color w:val="auto"/>
        </w:rPr>
      </w:pPr>
    </w:p>
    <w:p>
      <w:pPr>
        <w:ind w:right="500" w:firstLine="490"/>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Other loss. </w:t>
      </w:r>
      <w:r>
        <w:rPr>
          <w:rFonts w:ascii="Times New Roman" w:cs="Times New Roman" w:eastAsia="Times New Roman" w:hAnsi="Times New Roman"/>
          <w:sz w:val="20"/>
          <w:szCs w:val="20"/>
          <w:color w:val="auto"/>
        </w:rPr>
        <w:t>Other loss consists of one-time legal accruals and other miscellaneous items. During the years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ended December 31, 2025 and 2024, we incurred approximately $346 thousand, and $0 of these expenses, respectively.</w:t>
      </w:r>
    </w:p>
    <w:p>
      <w:pPr>
        <w:spacing w:after="0" w:line="180" w:lineRule="exact"/>
        <w:rPr>
          <w:sz w:val="20"/>
          <w:szCs w:val="20"/>
          <w:color w:val="auto"/>
        </w:rPr>
      </w:pPr>
    </w:p>
    <w:p>
      <w:pPr>
        <w:ind w:right="260" w:firstLine="490"/>
        <w:spacing w:after="0" w:line="246" w:lineRule="auto"/>
        <w:rPr>
          <w:sz w:val="20"/>
          <w:szCs w:val="20"/>
          <w:color w:val="auto"/>
        </w:rPr>
      </w:pPr>
      <w:r>
        <w:rPr>
          <w:rFonts w:ascii="Times New Roman" w:cs="Times New Roman" w:eastAsia="Times New Roman" w:hAnsi="Times New Roman"/>
          <w:sz w:val="20"/>
          <w:szCs w:val="20"/>
          <w:i w:val="1"/>
          <w:iCs w:val="1"/>
          <w:color w:val="auto"/>
        </w:rPr>
        <w:t>Interest income (expense), net</w:t>
      </w:r>
      <w:r>
        <w:rPr>
          <w:rFonts w:ascii="Times New Roman" w:cs="Times New Roman" w:eastAsia="Times New Roman" w:hAnsi="Times New Roman"/>
          <w:sz w:val="20"/>
          <w:szCs w:val="20"/>
          <w:color w:val="auto"/>
        </w:rPr>
        <w:t>. During 2025, interest expense was ($0.2) million due to lower cash on hand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during 2025, compared to interest income of $0.8 million in 2024 primarily due to the interest income earned on the proceeds from the IPO transaction and the reduction of proceeds using for development of new restaurants.</w:t>
      </w:r>
    </w:p>
    <w:p>
      <w:pPr>
        <w:spacing w:after="0" w:line="188" w:lineRule="exact"/>
        <w:rPr>
          <w:sz w:val="20"/>
          <w:szCs w:val="20"/>
          <w:color w:val="auto"/>
        </w:rPr>
      </w:pPr>
    </w:p>
    <w:p>
      <w:pPr>
        <w:jc w:val="both"/>
        <w:ind w:right="200" w:firstLine="490"/>
        <w:spacing w:after="0" w:line="246" w:lineRule="auto"/>
        <w:rPr>
          <w:sz w:val="20"/>
          <w:szCs w:val="20"/>
          <w:color w:val="auto"/>
        </w:rPr>
      </w:pPr>
      <w:r>
        <w:rPr>
          <w:rFonts w:ascii="Times New Roman" w:cs="Times New Roman" w:eastAsia="Times New Roman" w:hAnsi="Times New Roman"/>
          <w:sz w:val="20"/>
          <w:szCs w:val="20"/>
          <w:i w:val="1"/>
          <w:iCs w:val="1"/>
          <w:color w:val="auto"/>
        </w:rPr>
        <w:t>Equity in loss of equity method investee</w:t>
      </w:r>
      <w:r>
        <w:rPr>
          <w:rFonts w:ascii="Times New Roman" w:cs="Times New Roman" w:eastAsia="Times New Roman" w:hAnsi="Times New Roman"/>
          <w:sz w:val="20"/>
          <w:szCs w:val="20"/>
          <w:color w:val="auto"/>
        </w:rPr>
        <w:t>. Equity in loss of equity method investee reflected our 50% ownership</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GKBH that was accounted for using the equity method until the date of acquisition on February 18, 2024. Equity method investee was a loss of $17 thousand in 2024.</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EBITDA and Adjusted EBITDA Margin</w:t>
      </w:r>
    </w:p>
    <w:p>
      <w:pPr>
        <w:spacing w:after="0" w:line="109" w:lineRule="exact"/>
        <w:rPr>
          <w:sz w:val="20"/>
          <w:szCs w:val="20"/>
          <w:color w:val="auto"/>
        </w:rPr>
      </w:pPr>
    </w:p>
    <w:p>
      <w:pPr>
        <w:ind w:right="220" w:firstLine="490"/>
        <w:spacing w:after="0" w:line="234" w:lineRule="auto"/>
        <w:rPr>
          <w:sz w:val="20"/>
          <w:szCs w:val="20"/>
          <w:color w:val="auto"/>
        </w:rPr>
      </w:pPr>
      <w:r>
        <w:rPr>
          <w:rFonts w:ascii="Times New Roman" w:cs="Times New Roman" w:eastAsia="Times New Roman" w:hAnsi="Times New Roman"/>
          <w:sz w:val="20"/>
          <w:szCs w:val="20"/>
          <w:color w:val="auto"/>
        </w:rPr>
        <w:t>Adjusted EBITDA represents net income excluding interest (income) expense, income taxes, depreciation and amortization, stock-based compensation, and also excludes non-recurring and certain other non-cash items such as employee retention credits, litigation accruals, non-cash lease expense, non-cash lease expense included in pre-opening costs and gain on remeasurement of previously held interest. Adjusted EBITDA Margin is defined as Adjusted EBITDA divided by revenue. We believe that Adjusted EBITDA and Adjusted EBITDA Margin provide useful information to management and investors regarding certain financial and business trends relating to our financial condition and operating results, as these measure depict normal recurring cash operating expenses essential to supporting the operations of our company.</w:t>
      </w:r>
    </w:p>
    <w:p>
      <w:pPr>
        <w:sectPr>
          <w:pgSz w:w="12240" w:h="15840" w:orient="portrait"/>
          <w:cols w:equalWidth="0" w:num="1">
            <w:col w:w="9540"/>
          </w:cols>
          <w:pgMar w:left="1260" w:top="1227"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540"/>
          </w:cols>
          <w:pgMar w:left="1260" w:top="1227" w:right="1440" w:bottom="355" w:gutter="0" w:footer="0" w:header="0"/>
          <w:type w:val="continuous"/>
        </w:sectPr>
      </w:pPr>
    </w:p>
    <w:bookmarkStart w:id="52" w:name="page53"/>
    <w:bookmarkEnd w:id="52"/>
    <w:p>
      <w:pPr>
        <w:ind w:right="220" w:firstLine="490"/>
        <w:spacing w:after="0" w:line="277" w:lineRule="auto"/>
        <w:rPr>
          <w:sz w:val="20"/>
          <w:szCs w:val="20"/>
          <w:color w:val="auto"/>
        </w:rPr>
      </w:pPr>
      <w:r>
        <w:rPr>
          <w:rFonts w:ascii="Times New Roman" w:cs="Times New Roman" w:eastAsia="Times New Roman" w:hAnsi="Times New Roman"/>
          <w:sz w:val="20"/>
          <w:szCs w:val="20"/>
          <w:color w:val="auto"/>
        </w:rPr>
        <w:t>The following table reconciles net (loss) income to Adjusted EBITDA for the years ended December 31, 2025 and December 31, 2024:</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(amounts in thousands)</w:t>
            </w:r>
          </w:p>
        </w:tc>
        <w:tc>
          <w:tcPr>
            <w:tcW w:w="300" w:type="dxa"/>
            <w:vAlign w:val="bottom"/>
          </w:tcPr>
          <w:p>
            <w:pPr>
              <w:spacing w:after="0"/>
              <w:rPr>
                <w:sz w:val="17"/>
                <w:szCs w:val="17"/>
                <w:color w:val="auto"/>
              </w:rPr>
            </w:pPr>
          </w:p>
        </w:tc>
        <w:tc>
          <w:tcPr>
            <w:tcW w:w="3060" w:type="dxa"/>
            <w:vAlign w:val="bottom"/>
            <w:gridSpan w:val="6"/>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98"/>
        </w:trPr>
        <w:tc>
          <w:tcPr>
            <w:tcW w:w="1600" w:type="dxa"/>
            <w:vAlign w:val="bottom"/>
            <w:tcBorders>
              <w:top w:val="single" w:sz="8" w:color="auto"/>
            </w:tcBorders>
          </w:tcPr>
          <w:p>
            <w:pPr>
              <w:spacing w:after="0"/>
              <w:rPr>
                <w:sz w:val="17"/>
                <w:szCs w:val="17"/>
                <w:color w:val="auto"/>
              </w:rPr>
            </w:pPr>
          </w:p>
        </w:tc>
        <w:tc>
          <w:tcPr>
            <w:tcW w:w="44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r>
      <w:tr>
        <w:trPr>
          <w:trHeight w:val="193"/>
        </w:trPr>
        <w:tc>
          <w:tcPr>
            <w:tcW w:w="160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44"/>
        </w:trPr>
        <w:tc>
          <w:tcPr>
            <w:tcW w:w="600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rPr>
              <w:t>EBITDA:</w:t>
            </w:r>
          </w:p>
        </w:tc>
        <w:tc>
          <w:tcPr>
            <w:tcW w:w="300" w:type="dxa"/>
            <w:vAlign w:val="bottom"/>
            <w:shd w:val="clear" w:color="auto" w:fill="EAEAEA"/>
          </w:tcPr>
          <w:p>
            <w:pPr>
              <w:spacing w:after="0"/>
              <w:rPr>
                <w:sz w:val="21"/>
                <w:szCs w:val="21"/>
                <w:color w:val="auto"/>
              </w:rPr>
            </w:pPr>
          </w:p>
        </w:tc>
        <w:tc>
          <w:tcPr>
            <w:tcW w:w="1020" w:type="dxa"/>
            <w:vAlign w:val="bottom"/>
            <w:shd w:val="clear" w:color="auto" w:fill="EAEAEA"/>
          </w:tcPr>
          <w:p>
            <w:pPr>
              <w:spacing w:after="0"/>
              <w:rPr>
                <w:sz w:val="21"/>
                <w:szCs w:val="21"/>
                <w:color w:val="auto"/>
              </w:rPr>
            </w:pPr>
          </w:p>
        </w:tc>
        <w:tc>
          <w:tcPr>
            <w:tcW w:w="36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108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r>
      <w:tr>
        <w:trPr>
          <w:trHeight w:val="244"/>
        </w:trPr>
        <w:tc>
          <w:tcPr>
            <w:tcW w:w="60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Net (loss) income</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(19,375)</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4,532</w:t>
            </w:r>
          </w:p>
        </w:tc>
        <w:tc>
          <w:tcPr>
            <w:tcW w:w="200" w:type="dxa"/>
            <w:vAlign w:val="bottom"/>
          </w:tcPr>
          <w:p>
            <w:pPr>
              <w:spacing w:after="0"/>
              <w:rPr>
                <w:sz w:val="21"/>
                <w:szCs w:val="21"/>
                <w:color w:val="auto"/>
              </w:rPr>
            </w:pPr>
          </w:p>
        </w:tc>
      </w:tr>
      <w:tr>
        <w:trPr>
          <w:trHeight w:val="244"/>
        </w:trPr>
        <w:tc>
          <w:tcPr>
            <w:tcW w:w="600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20"/>
                <w:szCs w:val="20"/>
                <w:color w:val="auto"/>
              </w:rPr>
              <w:t>Net (Loss) Income Margin</w:t>
            </w:r>
          </w:p>
        </w:tc>
        <w:tc>
          <w:tcPr>
            <w:tcW w:w="300" w:type="dxa"/>
            <w:vAlign w:val="bottom"/>
            <w:shd w:val="clear" w:color="auto" w:fill="EAEAEA"/>
          </w:tcPr>
          <w:p>
            <w:pPr>
              <w:spacing w:after="0"/>
              <w:rPr>
                <w:sz w:val="21"/>
                <w:szCs w:val="21"/>
                <w:color w:val="auto"/>
              </w:rPr>
            </w:pPr>
          </w:p>
        </w:tc>
        <w:tc>
          <w:tcPr>
            <w:tcW w:w="1380" w:type="dxa"/>
            <w:vAlign w:val="bottom"/>
            <w:gridSpan w:val="2"/>
            <w:shd w:val="clear" w:color="auto" w:fill="EAEAEA"/>
          </w:tcPr>
          <w:p>
            <w:pPr>
              <w:jc w:val="right"/>
              <w:ind w:right="120"/>
              <w:spacing w:after="0"/>
              <w:rPr>
                <w:sz w:val="20"/>
                <w:szCs w:val="20"/>
                <w:color w:val="auto"/>
              </w:rPr>
            </w:pPr>
            <w:r>
              <w:rPr>
                <w:rFonts w:ascii="Times New Roman" w:cs="Times New Roman" w:eastAsia="Times New Roman" w:hAnsi="Times New Roman"/>
                <w:sz w:val="20"/>
                <w:szCs w:val="20"/>
                <w:color w:val="auto"/>
              </w:rPr>
              <w:t>(9.1)%</w:t>
            </w:r>
          </w:p>
        </w:tc>
        <w:tc>
          <w:tcPr>
            <w:tcW w:w="8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1280" w:type="dxa"/>
            <w:vAlign w:val="bottom"/>
            <w:gridSpan w:val="2"/>
            <w:shd w:val="clear" w:color="auto" w:fill="EAEAEA"/>
          </w:tcPr>
          <w:p>
            <w:pPr>
              <w:jc w:val="right"/>
              <w:ind w:right="40"/>
              <w:spacing w:after="0"/>
              <w:rPr>
                <w:sz w:val="20"/>
                <w:szCs w:val="20"/>
                <w:color w:val="auto"/>
              </w:rPr>
            </w:pPr>
            <w:r>
              <w:rPr>
                <w:rFonts w:ascii="Times New Roman" w:cs="Times New Roman" w:eastAsia="Times New Roman" w:hAnsi="Times New Roman"/>
                <w:sz w:val="20"/>
                <w:szCs w:val="20"/>
                <w:color w:val="auto"/>
              </w:rPr>
              <w:t>2.2%</w:t>
            </w:r>
          </w:p>
        </w:tc>
      </w:tr>
      <w:tr>
        <w:trPr>
          <w:trHeight w:val="244"/>
        </w:trPr>
        <w:tc>
          <w:tcPr>
            <w:tcW w:w="6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 income (expense), net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(829)</w:t>
            </w:r>
          </w:p>
        </w:tc>
      </w:tr>
      <w:tr>
        <w:trPr>
          <w:trHeight w:val="244"/>
        </w:trPr>
        <w:tc>
          <w:tcPr>
            <w:tcW w:w="600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20"/>
                <w:szCs w:val="20"/>
                <w:color w:val="auto"/>
              </w:rPr>
              <w:t>(Benefit) provision for income taxes</w:t>
            </w:r>
          </w:p>
        </w:tc>
        <w:tc>
          <w:tcPr>
            <w:tcW w:w="300" w:type="dxa"/>
            <w:vAlign w:val="bottom"/>
            <w:shd w:val="clear" w:color="auto" w:fill="EAEAEA"/>
          </w:tcPr>
          <w:p>
            <w:pPr>
              <w:spacing w:after="0"/>
              <w:rPr>
                <w:sz w:val="21"/>
                <w:szCs w:val="21"/>
                <w:color w:val="auto"/>
              </w:rPr>
            </w:pPr>
          </w:p>
        </w:tc>
        <w:tc>
          <w:tcPr>
            <w:tcW w:w="1380" w:type="dxa"/>
            <w:vAlign w:val="bottom"/>
            <w:gridSpan w:val="2"/>
            <w:shd w:val="clear" w:color="auto" w:fill="EAEAEA"/>
          </w:tcPr>
          <w:p>
            <w:pPr>
              <w:jc w:val="right"/>
              <w:ind w:right="300"/>
              <w:spacing w:after="0"/>
              <w:rPr>
                <w:sz w:val="20"/>
                <w:szCs w:val="20"/>
                <w:color w:val="auto"/>
              </w:rPr>
            </w:pPr>
            <w:r>
              <w:rPr>
                <w:rFonts w:ascii="Times New Roman" w:cs="Times New Roman" w:eastAsia="Times New Roman" w:hAnsi="Times New Roman"/>
                <w:sz w:val="20"/>
                <w:szCs w:val="20"/>
                <w:color w:val="auto"/>
              </w:rPr>
              <w:t>(930)</w:t>
            </w:r>
          </w:p>
        </w:tc>
        <w:tc>
          <w:tcPr>
            <w:tcW w:w="8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10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357</w:t>
            </w:r>
          </w:p>
        </w:tc>
        <w:tc>
          <w:tcPr>
            <w:tcW w:w="200" w:type="dxa"/>
            <w:vAlign w:val="bottom"/>
            <w:shd w:val="clear" w:color="auto" w:fill="EAEAEA"/>
          </w:tcPr>
          <w:p>
            <w:pPr>
              <w:spacing w:after="0"/>
              <w:rPr>
                <w:sz w:val="21"/>
                <w:szCs w:val="21"/>
                <w:color w:val="auto"/>
              </w:rPr>
            </w:pPr>
          </w:p>
        </w:tc>
      </w:tr>
      <w:tr>
        <w:trPr>
          <w:trHeight w:val="244"/>
        </w:trPr>
        <w:tc>
          <w:tcPr>
            <w:tcW w:w="6000" w:type="dxa"/>
            <w:vAlign w:val="bottom"/>
            <w:tcBorders>
              <w:bottom w:val="single" w:sz="8" w:color="EAEAEA"/>
            </w:tcBorders>
            <w:gridSpan w:val="2"/>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9,120</w:t>
            </w:r>
          </w:p>
        </w:tc>
        <w:tc>
          <w:tcPr>
            <w:tcW w:w="360" w:type="dxa"/>
            <w:vAlign w:val="bottom"/>
            <w:tcBorders>
              <w:bottom w:val="single" w:sz="8" w:color="EAEAEA"/>
            </w:tcBorders>
          </w:tcPr>
          <w:p>
            <w:pPr>
              <w:spacing w:after="0"/>
              <w:rPr>
                <w:sz w:val="21"/>
                <w:szCs w:val="21"/>
                <w:color w:val="auto"/>
              </w:rPr>
            </w:pPr>
          </w:p>
        </w:tc>
        <w:tc>
          <w:tcPr>
            <w:tcW w:w="80" w:type="dxa"/>
            <w:vAlign w:val="bottom"/>
            <w:tcBorders>
              <w:bottom w:val="single" w:sz="8" w:color="EAEAEA"/>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6,857</w:t>
            </w:r>
          </w:p>
        </w:tc>
        <w:tc>
          <w:tcPr>
            <w:tcW w:w="200" w:type="dxa"/>
            <w:vAlign w:val="bottom"/>
            <w:tcBorders>
              <w:bottom w:val="single" w:sz="8" w:color="EAEAEA"/>
            </w:tcBorders>
          </w:tcPr>
          <w:p>
            <w:pPr>
              <w:spacing w:after="0"/>
              <w:rPr>
                <w:sz w:val="21"/>
                <w:szCs w:val="21"/>
                <w:color w:val="auto"/>
              </w:rPr>
            </w:pPr>
          </w:p>
        </w:tc>
      </w:tr>
      <w:tr>
        <w:trPr>
          <w:trHeight w:val="239"/>
        </w:trPr>
        <w:tc>
          <w:tcPr>
            <w:tcW w:w="600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rPr>
              <w:t>EBITDA</w:t>
            </w:r>
          </w:p>
        </w:tc>
        <w:tc>
          <w:tcPr>
            <w:tcW w:w="300" w:type="dxa"/>
            <w:vAlign w:val="bottom"/>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b w:val="1"/>
                <w:bCs w:val="1"/>
                <w:color w:val="auto"/>
              </w:rPr>
              <w:t>(10,953)</w:t>
            </w:r>
          </w:p>
        </w:tc>
        <w:tc>
          <w:tcPr>
            <w:tcW w:w="36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320" w:type="dxa"/>
            <w:vAlign w:val="bottom"/>
            <w:shd w:val="clear" w:color="auto" w:fill="EAEAEA"/>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b w:val="1"/>
                <w:bCs w:val="1"/>
                <w:color w:val="auto"/>
              </w:rPr>
              <w:t>10,917</w:t>
            </w:r>
          </w:p>
        </w:tc>
        <w:tc>
          <w:tcPr>
            <w:tcW w:w="200" w:type="dxa"/>
            <w:vAlign w:val="bottom"/>
            <w:shd w:val="clear" w:color="auto" w:fill="EAEAEA"/>
          </w:tcPr>
          <w:p>
            <w:pPr>
              <w:spacing w:after="0"/>
              <w:rPr>
                <w:sz w:val="20"/>
                <w:szCs w:val="20"/>
                <w:color w:val="auto"/>
              </w:rPr>
            </w:pPr>
          </w:p>
        </w:tc>
      </w:tr>
      <w:tr>
        <w:trPr>
          <w:trHeight w:val="274"/>
        </w:trPr>
        <w:tc>
          <w:tcPr>
            <w:tcW w:w="60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EBITDA Margin</w:t>
            </w:r>
          </w:p>
        </w:tc>
        <w:tc>
          <w:tcPr>
            <w:tcW w:w="300" w:type="dxa"/>
            <w:vAlign w:val="bottom"/>
          </w:tcPr>
          <w:p>
            <w:pPr>
              <w:spacing w:after="0"/>
              <w:rPr>
                <w:sz w:val="23"/>
                <w:szCs w:val="23"/>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(5.2)%</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5.2%</w:t>
            </w:r>
          </w:p>
        </w:tc>
      </w:tr>
      <w:tr>
        <w:trPr>
          <w:trHeight w:val="214"/>
        </w:trPr>
        <w:tc>
          <w:tcPr>
            <w:tcW w:w="16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4"/>
        </w:trPr>
        <w:tc>
          <w:tcPr>
            <w:tcW w:w="600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rPr>
              <w:t>Adjustments to EBITDA:</w:t>
            </w:r>
          </w:p>
        </w:tc>
        <w:tc>
          <w:tcPr>
            <w:tcW w:w="300" w:type="dxa"/>
            <w:vAlign w:val="bottom"/>
            <w:shd w:val="clear" w:color="auto" w:fill="EAEAEA"/>
          </w:tcPr>
          <w:p>
            <w:pPr>
              <w:spacing w:after="0"/>
              <w:rPr>
                <w:sz w:val="21"/>
                <w:szCs w:val="21"/>
                <w:color w:val="auto"/>
              </w:rPr>
            </w:pPr>
          </w:p>
        </w:tc>
        <w:tc>
          <w:tcPr>
            <w:tcW w:w="1020" w:type="dxa"/>
            <w:vAlign w:val="bottom"/>
            <w:shd w:val="clear" w:color="auto" w:fill="EAEAEA"/>
          </w:tcPr>
          <w:p>
            <w:pPr>
              <w:spacing w:after="0"/>
              <w:rPr>
                <w:sz w:val="21"/>
                <w:szCs w:val="21"/>
                <w:color w:val="auto"/>
              </w:rPr>
            </w:pPr>
          </w:p>
        </w:tc>
        <w:tc>
          <w:tcPr>
            <w:tcW w:w="36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108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r>
      <w:tr>
        <w:trPr>
          <w:trHeight w:val="244"/>
        </w:trPr>
        <w:tc>
          <w:tcPr>
            <w:tcW w:w="6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EBITDA</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(10,953)</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10,917</w:t>
            </w:r>
          </w:p>
        </w:tc>
        <w:tc>
          <w:tcPr>
            <w:tcW w:w="200" w:type="dxa"/>
            <w:vAlign w:val="bottom"/>
          </w:tcPr>
          <w:p>
            <w:pPr>
              <w:spacing w:after="0"/>
              <w:rPr>
                <w:sz w:val="21"/>
                <w:szCs w:val="21"/>
                <w:color w:val="auto"/>
              </w:rPr>
            </w:pPr>
          </w:p>
        </w:tc>
      </w:tr>
      <w:tr>
        <w:trPr>
          <w:trHeight w:val="244"/>
        </w:trPr>
        <w:tc>
          <w:tcPr>
            <w:tcW w:w="600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20"/>
                <w:szCs w:val="20"/>
                <w:color w:val="auto"/>
              </w:rPr>
              <w:t>Stock-based compensation expense(1)</w:t>
            </w:r>
          </w:p>
        </w:tc>
        <w:tc>
          <w:tcPr>
            <w:tcW w:w="300" w:type="dxa"/>
            <w:vAlign w:val="bottom"/>
            <w:shd w:val="clear" w:color="auto" w:fill="EAEAEA"/>
          </w:tcPr>
          <w:p>
            <w:pPr>
              <w:spacing w:after="0"/>
              <w:rPr>
                <w:sz w:val="21"/>
                <w:szCs w:val="21"/>
                <w:color w:val="auto"/>
              </w:rPr>
            </w:pPr>
          </w:p>
        </w:tc>
        <w:tc>
          <w:tcPr>
            <w:tcW w:w="10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2,936</w:t>
            </w:r>
          </w:p>
        </w:tc>
        <w:tc>
          <w:tcPr>
            <w:tcW w:w="36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10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2,986</w:t>
            </w:r>
          </w:p>
        </w:tc>
        <w:tc>
          <w:tcPr>
            <w:tcW w:w="200" w:type="dxa"/>
            <w:vAlign w:val="bottom"/>
            <w:shd w:val="clear" w:color="auto" w:fill="EAEAEA"/>
          </w:tcPr>
          <w:p>
            <w:pPr>
              <w:spacing w:after="0"/>
              <w:rPr>
                <w:sz w:val="21"/>
                <w:szCs w:val="21"/>
                <w:color w:val="auto"/>
              </w:rPr>
            </w:pPr>
          </w:p>
        </w:tc>
      </w:tr>
      <w:tr>
        <w:trPr>
          <w:trHeight w:val="244"/>
        </w:trPr>
        <w:tc>
          <w:tcPr>
            <w:tcW w:w="6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Employee retention credits (2)</w:t>
            </w:r>
          </w:p>
        </w:tc>
        <w:tc>
          <w:tcPr>
            <w:tcW w:w="30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(313)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(199)</w:t>
            </w:r>
          </w:p>
        </w:tc>
      </w:tr>
      <w:tr>
        <w:trPr>
          <w:trHeight w:val="244"/>
        </w:trPr>
        <w:tc>
          <w:tcPr>
            <w:tcW w:w="600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20"/>
                <w:szCs w:val="20"/>
                <w:color w:val="auto"/>
              </w:rPr>
              <w:t>Litigation accrual (3)</w:t>
            </w:r>
          </w:p>
        </w:tc>
        <w:tc>
          <w:tcPr>
            <w:tcW w:w="300" w:type="dxa"/>
            <w:vAlign w:val="bottom"/>
            <w:shd w:val="clear" w:color="auto" w:fill="EAEAEA"/>
          </w:tcPr>
          <w:p>
            <w:pPr>
              <w:spacing w:after="0"/>
              <w:rPr>
                <w:sz w:val="21"/>
                <w:szCs w:val="21"/>
                <w:color w:val="auto"/>
              </w:rPr>
            </w:pPr>
          </w:p>
        </w:tc>
        <w:tc>
          <w:tcPr>
            <w:tcW w:w="10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346</w:t>
            </w:r>
          </w:p>
        </w:tc>
        <w:tc>
          <w:tcPr>
            <w:tcW w:w="36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1280" w:type="dxa"/>
            <w:vAlign w:val="bottom"/>
            <w:gridSpan w:val="2"/>
            <w:shd w:val="clear" w:color="auto" w:fill="EAEAEA"/>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Non-cash lease expense (4)</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677</w:t>
            </w:r>
          </w:p>
        </w:tc>
        <w:tc>
          <w:tcPr>
            <w:tcW w:w="200" w:type="dxa"/>
            <w:vAlign w:val="bottom"/>
          </w:tcPr>
          <w:p>
            <w:pPr>
              <w:spacing w:after="0"/>
              <w:rPr>
                <w:sz w:val="21"/>
                <w:szCs w:val="21"/>
                <w:color w:val="auto"/>
              </w:rPr>
            </w:pPr>
          </w:p>
        </w:tc>
      </w:tr>
      <w:tr>
        <w:trPr>
          <w:trHeight w:val="244"/>
        </w:trPr>
        <w:tc>
          <w:tcPr>
            <w:tcW w:w="600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20"/>
                <w:szCs w:val="20"/>
                <w:color w:val="auto"/>
              </w:rPr>
              <w:t>Non-cash lease expense included in pre-opening costs (5)</w:t>
            </w:r>
          </w:p>
        </w:tc>
        <w:tc>
          <w:tcPr>
            <w:tcW w:w="300" w:type="dxa"/>
            <w:vAlign w:val="bottom"/>
            <w:shd w:val="clear" w:color="auto" w:fill="EAEAEA"/>
          </w:tcPr>
          <w:p>
            <w:pPr>
              <w:spacing w:after="0"/>
              <w:rPr>
                <w:sz w:val="21"/>
                <w:szCs w:val="21"/>
                <w:color w:val="auto"/>
              </w:rPr>
            </w:pPr>
          </w:p>
        </w:tc>
        <w:tc>
          <w:tcPr>
            <w:tcW w:w="10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2,641</w:t>
            </w:r>
          </w:p>
        </w:tc>
        <w:tc>
          <w:tcPr>
            <w:tcW w:w="36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10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2,354</w:t>
            </w:r>
          </w:p>
        </w:tc>
        <w:tc>
          <w:tcPr>
            <w:tcW w:w="200" w:type="dxa"/>
            <w:vAlign w:val="bottom"/>
            <w:shd w:val="clear" w:color="auto" w:fill="EAEAEA"/>
          </w:tcPr>
          <w:p>
            <w:pPr>
              <w:spacing w:after="0"/>
              <w:rPr>
                <w:sz w:val="21"/>
                <w:szCs w:val="21"/>
                <w:color w:val="auto"/>
              </w:rPr>
            </w:pPr>
          </w:p>
        </w:tc>
      </w:tr>
      <w:tr>
        <w:trPr>
          <w:trHeight w:val="244"/>
        </w:trPr>
        <w:tc>
          <w:tcPr>
            <w:tcW w:w="6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Impairment expense (6)</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5,527</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600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20"/>
                <w:szCs w:val="20"/>
                <w:color w:val="auto"/>
              </w:rPr>
              <w:t>Gain on remeasurement of previously held interest (7)</w:t>
            </w:r>
          </w:p>
        </w:tc>
        <w:tc>
          <w:tcPr>
            <w:tcW w:w="300" w:type="dxa"/>
            <w:vAlign w:val="bottom"/>
            <w:shd w:val="clear" w:color="auto" w:fill="EAEAEA"/>
          </w:tcPr>
          <w:p>
            <w:pPr>
              <w:spacing w:after="0"/>
              <w:rPr>
                <w:sz w:val="22"/>
                <w:szCs w:val="22"/>
                <w:color w:val="auto"/>
              </w:rPr>
            </w:pPr>
          </w:p>
        </w:tc>
        <w:tc>
          <w:tcPr>
            <w:tcW w:w="1380" w:type="dxa"/>
            <w:vAlign w:val="bottom"/>
            <w:gridSpan w:val="2"/>
            <w:shd w:val="clear" w:color="auto" w:fill="EAEAEA"/>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AEAEA"/>
          </w:tcPr>
          <w:p>
            <w:pPr>
              <w:spacing w:after="0"/>
              <w:rPr>
                <w:sz w:val="22"/>
                <w:szCs w:val="22"/>
                <w:color w:val="auto"/>
              </w:rPr>
            </w:pPr>
          </w:p>
        </w:tc>
        <w:tc>
          <w:tcPr>
            <w:tcW w:w="320" w:type="dxa"/>
            <w:vAlign w:val="bottom"/>
            <w:shd w:val="clear" w:color="auto" w:fill="EAEAEA"/>
          </w:tcPr>
          <w:p>
            <w:pPr>
              <w:spacing w:after="0"/>
              <w:rPr>
                <w:sz w:val="22"/>
                <w:szCs w:val="22"/>
                <w:color w:val="auto"/>
              </w:rPr>
            </w:pPr>
          </w:p>
        </w:tc>
        <w:tc>
          <w:tcPr>
            <w:tcW w:w="1280" w:type="dxa"/>
            <w:vAlign w:val="bottom"/>
            <w:gridSpan w:val="2"/>
            <w:shd w:val="clear" w:color="auto" w:fill="EAEAEA"/>
          </w:tcPr>
          <w:p>
            <w:pPr>
              <w:jc w:val="right"/>
              <w:ind w:right="140"/>
              <w:spacing w:after="0"/>
              <w:rPr>
                <w:sz w:val="20"/>
                <w:szCs w:val="20"/>
                <w:color w:val="auto"/>
              </w:rPr>
            </w:pPr>
            <w:r>
              <w:rPr>
                <w:rFonts w:ascii="Times New Roman" w:cs="Times New Roman" w:eastAsia="Times New Roman" w:hAnsi="Times New Roman"/>
                <w:sz w:val="20"/>
                <w:szCs w:val="20"/>
                <w:color w:val="auto"/>
              </w:rPr>
              <w:t>(3,402)</w:t>
            </w:r>
          </w:p>
        </w:tc>
      </w:tr>
      <w:tr>
        <w:trPr>
          <w:trHeight w:val="219"/>
        </w:trPr>
        <w:tc>
          <w:tcPr>
            <w:tcW w:w="6000" w:type="dxa"/>
            <w:vAlign w:val="bottom"/>
            <w:tcBorders>
              <w:top w:val="single" w:sz="8" w:color="EAEAEA"/>
            </w:tcBorders>
            <w:gridSpan w:val="2"/>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Adjusted EBITDA</w:t>
            </w:r>
          </w:p>
        </w:tc>
        <w:tc>
          <w:tcPr>
            <w:tcW w:w="300" w:type="dxa"/>
            <w:vAlign w:val="bottom"/>
            <w:tcBorders>
              <w:top w:val="single" w:sz="8" w:color="auto"/>
            </w:tcBorders>
          </w:tcPr>
          <w:p>
            <w:pPr>
              <w:jc w:val="right"/>
              <w:ind w:right="100"/>
              <w:spacing w:after="0" w:line="219"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02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658</w:t>
            </w:r>
          </w:p>
        </w:tc>
        <w:tc>
          <w:tcPr>
            <w:tcW w:w="360" w:type="dxa"/>
            <w:vAlign w:val="bottom"/>
            <w:tcBorders>
              <w:top w:val="single" w:sz="8" w:color="EAEAEA"/>
            </w:tcBorders>
          </w:tcPr>
          <w:p>
            <w:pPr>
              <w:spacing w:after="0"/>
              <w:rPr>
                <w:sz w:val="19"/>
                <w:szCs w:val="19"/>
                <w:color w:val="auto"/>
              </w:rPr>
            </w:pPr>
          </w:p>
        </w:tc>
        <w:tc>
          <w:tcPr>
            <w:tcW w:w="80" w:type="dxa"/>
            <w:vAlign w:val="bottom"/>
            <w:tcBorders>
              <w:top w:val="single" w:sz="8" w:color="EAEAEA"/>
            </w:tcBorders>
          </w:tcPr>
          <w:p>
            <w:pPr>
              <w:spacing w:after="0"/>
              <w:rPr>
                <w:sz w:val="19"/>
                <w:szCs w:val="19"/>
                <w:color w:val="auto"/>
              </w:rPr>
            </w:pPr>
          </w:p>
        </w:tc>
        <w:tc>
          <w:tcPr>
            <w:tcW w:w="320" w:type="dxa"/>
            <w:vAlign w:val="bottom"/>
            <w:tcBorders>
              <w:top w:val="single" w:sz="8" w:color="auto"/>
            </w:tcBorders>
          </w:tcPr>
          <w:p>
            <w:pPr>
              <w:jc w:val="right"/>
              <w:ind w:right="120"/>
              <w:spacing w:after="0" w:line="219"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08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13,333</w:t>
            </w:r>
          </w:p>
        </w:tc>
        <w:tc>
          <w:tcPr>
            <w:tcW w:w="200" w:type="dxa"/>
            <w:vAlign w:val="bottom"/>
            <w:tcBorders>
              <w:top w:val="single" w:sz="8" w:color="EAEAEA"/>
            </w:tcBorders>
          </w:tcPr>
          <w:p>
            <w:pPr>
              <w:spacing w:after="0"/>
              <w:rPr>
                <w:sz w:val="19"/>
                <w:szCs w:val="19"/>
                <w:color w:val="auto"/>
              </w:rPr>
            </w:pPr>
          </w:p>
        </w:tc>
      </w:tr>
      <w:tr>
        <w:trPr>
          <w:trHeight w:val="244"/>
        </w:trPr>
        <w:tc>
          <w:tcPr>
            <w:tcW w:w="600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rPr>
              <w:t>Adjusted EBITDA Margin</w:t>
            </w:r>
          </w:p>
        </w:tc>
        <w:tc>
          <w:tcPr>
            <w:tcW w:w="300" w:type="dxa"/>
            <w:vAlign w:val="bottom"/>
            <w:shd w:val="clear" w:color="auto" w:fill="EAEAEA"/>
          </w:tcPr>
          <w:p>
            <w:pPr>
              <w:spacing w:after="0"/>
              <w:rPr>
                <w:sz w:val="21"/>
                <w:szCs w:val="21"/>
                <w:color w:val="auto"/>
              </w:rPr>
            </w:pPr>
          </w:p>
        </w:tc>
        <w:tc>
          <w:tcPr>
            <w:tcW w:w="1380" w:type="dxa"/>
            <w:vAlign w:val="bottom"/>
            <w:gridSpan w:val="2"/>
            <w:shd w:val="clear" w:color="auto" w:fill="EAEAEA"/>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0.3%</w:t>
            </w:r>
          </w:p>
        </w:tc>
        <w:tc>
          <w:tcPr>
            <w:tcW w:w="8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128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b w:val="1"/>
                <w:bCs w:val="1"/>
                <w:color w:val="auto"/>
              </w:rPr>
              <w:t>6.4%</w:t>
            </w:r>
          </w:p>
        </w:tc>
      </w:tr>
    </w:tbl>
    <w:p>
      <w:pPr>
        <w:spacing w:after="0" w:line="118" w:lineRule="exact"/>
        <w:rPr>
          <w:sz w:val="20"/>
          <w:szCs w:val="20"/>
          <w:color w:val="auto"/>
        </w:rPr>
      </w:pPr>
    </w:p>
    <w:p>
      <w:pPr>
        <w:jc w:val="both"/>
        <w:ind w:left="480" w:right="800" w:hanging="480"/>
        <w:spacing w:after="0" w:line="258" w:lineRule="auto"/>
        <w:tabs>
          <w:tab w:leader="none" w:pos="4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Stock-based compensation expense: During the years ended December 31, 2025 and 2024,we incurred expenses related to the granting of restricted stock units (“RSUs”) to employees. This was recorded in General and administrative expense.</w:t>
      </w:r>
    </w:p>
    <w:p>
      <w:pPr>
        <w:spacing w:after="0" w:line="68" w:lineRule="exact"/>
        <w:rPr>
          <w:rFonts w:ascii="Times New Roman" w:cs="Times New Roman" w:eastAsia="Times New Roman" w:hAnsi="Times New Roman"/>
          <w:sz w:val="20"/>
          <w:szCs w:val="20"/>
          <w:color w:val="auto"/>
        </w:rPr>
      </w:pPr>
    </w:p>
    <w:p>
      <w:pPr>
        <w:ind w:left="480" w:hanging="480"/>
        <w:spacing w:after="0"/>
        <w:tabs>
          <w:tab w:leader="none" w:pos="4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retention credits: These are refundable credits recognized under the provisions of the CARES Act.</w:t>
      </w:r>
    </w:p>
    <w:p>
      <w:pPr>
        <w:spacing w:after="0" w:line="120" w:lineRule="exact"/>
        <w:rPr>
          <w:rFonts w:ascii="Times New Roman" w:cs="Times New Roman" w:eastAsia="Times New Roman" w:hAnsi="Times New Roman"/>
          <w:sz w:val="20"/>
          <w:szCs w:val="20"/>
          <w:color w:val="auto"/>
        </w:rPr>
      </w:pPr>
    </w:p>
    <w:p>
      <w:pPr>
        <w:ind w:left="480" w:right="1180" w:hanging="480"/>
        <w:spacing w:after="0" w:line="277" w:lineRule="auto"/>
        <w:tabs>
          <w:tab w:leader="none" w:pos="4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accrual: This is an expense related to specific, one-time litigation claim. See “Note 12 - Commitments and Contingencies” in the consolidated financial statements.</w:t>
      </w:r>
    </w:p>
    <w:p>
      <w:pPr>
        <w:spacing w:after="0" w:line="49" w:lineRule="exact"/>
        <w:rPr>
          <w:rFonts w:ascii="Times New Roman" w:cs="Times New Roman" w:eastAsia="Times New Roman" w:hAnsi="Times New Roman"/>
          <w:sz w:val="20"/>
          <w:szCs w:val="20"/>
          <w:color w:val="auto"/>
        </w:rPr>
      </w:pPr>
    </w:p>
    <w:p>
      <w:pPr>
        <w:ind w:left="480" w:right="240" w:hanging="480"/>
        <w:spacing w:after="0" w:line="277" w:lineRule="auto"/>
        <w:tabs>
          <w:tab w:leader="none" w:pos="4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lease expense: This reflects the extent to which lease expense is greater than or less than contractual rent paid.</w:t>
      </w:r>
    </w:p>
    <w:p>
      <w:pPr>
        <w:spacing w:after="0" w:line="49" w:lineRule="exact"/>
        <w:rPr>
          <w:rFonts w:ascii="Times New Roman" w:cs="Times New Roman" w:eastAsia="Times New Roman" w:hAnsi="Times New Roman"/>
          <w:sz w:val="20"/>
          <w:szCs w:val="20"/>
          <w:color w:val="auto"/>
        </w:rPr>
      </w:pPr>
    </w:p>
    <w:p>
      <w:pPr>
        <w:ind w:left="480" w:right="780" w:hanging="480"/>
        <w:spacing w:after="0" w:line="277" w:lineRule="auto"/>
        <w:tabs>
          <w:tab w:leader="none" w:pos="4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lease expense related to pre-opening costs: Cost for stores in development in which the lease expense is greater than the contractual rent paid.</w:t>
      </w:r>
    </w:p>
    <w:p>
      <w:pPr>
        <w:spacing w:after="0" w:line="49" w:lineRule="exact"/>
        <w:rPr>
          <w:rFonts w:ascii="Times New Roman" w:cs="Times New Roman" w:eastAsia="Times New Roman" w:hAnsi="Times New Roman"/>
          <w:sz w:val="20"/>
          <w:szCs w:val="20"/>
          <w:color w:val="auto"/>
        </w:rPr>
      </w:pPr>
    </w:p>
    <w:p>
      <w:pPr>
        <w:ind w:left="480" w:right="1100" w:hanging="480"/>
        <w:spacing w:after="0" w:line="277" w:lineRule="auto"/>
        <w:tabs>
          <w:tab w:leader="none" w:pos="4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Impairment expense. During the fourth quarter of 2025, we recorded an asset reserve related to the partnership agreement to transfer five stores in exchange for a 49% equity interest.</w:t>
      </w:r>
    </w:p>
    <w:p>
      <w:pPr>
        <w:spacing w:after="0" w:line="49" w:lineRule="exact"/>
        <w:rPr>
          <w:rFonts w:ascii="Times New Roman" w:cs="Times New Roman" w:eastAsia="Times New Roman" w:hAnsi="Times New Roman"/>
          <w:sz w:val="20"/>
          <w:szCs w:val="20"/>
          <w:color w:val="auto"/>
        </w:rPr>
      </w:pPr>
    </w:p>
    <w:p>
      <w:pPr>
        <w:ind w:left="480" w:right="200" w:hanging="480"/>
        <w:spacing w:after="0" w:line="277" w:lineRule="auto"/>
        <w:tabs>
          <w:tab w:leader="none" w:pos="4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Gain on remeasurement of previously held interest consists of a one-time gain from the business acquisition of GKBH (a restaurant in Hawaii) during the first quarter of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Net Income and Adjusted EPS</w:t>
      </w:r>
    </w:p>
    <w:p>
      <w:pPr>
        <w:spacing w:after="0" w:line="118" w:lineRule="exact"/>
        <w:rPr>
          <w:sz w:val="20"/>
          <w:szCs w:val="20"/>
          <w:color w:val="auto"/>
        </w:rPr>
      </w:pPr>
    </w:p>
    <w:p>
      <w:pPr>
        <w:jc w:val="both"/>
        <w:ind w:right="200" w:firstLine="490"/>
        <w:spacing w:after="0" w:line="258" w:lineRule="auto"/>
        <w:rPr>
          <w:sz w:val="20"/>
          <w:szCs w:val="20"/>
          <w:color w:val="auto"/>
        </w:rPr>
      </w:pPr>
      <w:r>
        <w:rPr>
          <w:rFonts w:ascii="Times New Roman" w:cs="Times New Roman" w:eastAsia="Times New Roman" w:hAnsi="Times New Roman"/>
          <w:sz w:val="20"/>
          <w:szCs w:val="20"/>
          <w:color w:val="auto"/>
        </w:rPr>
        <w:t>Adjusted Net Income and Adjusted net income per share represents net income before income taxes, adjusted for stock-based compensation, and the related tax impact of the stock-based compensation adjustment, and provision for income taxes. “Adjusted EPS” is Adjusted Net Income, converted to a per share amount.</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540"/>
          </w:cols>
          <w:pgMar w:left="1260" w:top="1240" w:right="1440" w:bottom="355" w:gutter="0" w:footer="0" w:header="0"/>
          <w:type w:val="continuous"/>
        </w:sectPr>
      </w:pPr>
    </w:p>
    <w:bookmarkStart w:id="53" w:name="page54"/>
    <w:bookmarkEnd w:id="53"/>
    <w:p>
      <w:pPr>
        <w:ind w:right="300" w:firstLine="490"/>
        <w:spacing w:after="0" w:line="258" w:lineRule="auto"/>
        <w:rPr>
          <w:sz w:val="20"/>
          <w:szCs w:val="20"/>
          <w:color w:val="auto"/>
        </w:rPr>
      </w:pPr>
      <w:r>
        <w:rPr>
          <w:rFonts w:ascii="Times New Roman" w:cs="Times New Roman" w:eastAsia="Times New Roman" w:hAnsi="Times New Roman"/>
          <w:sz w:val="20"/>
          <w:szCs w:val="20"/>
          <w:color w:val="auto"/>
        </w:rPr>
        <w:t>The following table reconciles Net (loss) income before taxes to Adjusted net (loss) income and Adjusted net (loss) income per share attributable to Class A common stock per share-basic and diluted for the years ended December 31, 2025 and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gridSpan w:val="6"/>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Twelve months ended December 31,</w:t>
            </w:r>
          </w:p>
        </w:tc>
      </w:tr>
      <w:tr>
        <w:trPr>
          <w:trHeight w:val="193"/>
        </w:trPr>
        <w:tc>
          <w:tcPr>
            <w:tcW w:w="6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6"/>
                <w:szCs w:val="16"/>
                <w:color w:val="auto"/>
              </w:rPr>
            </w:pPr>
          </w:p>
        </w:tc>
      </w:tr>
      <w:tr>
        <w:trPr>
          <w:trHeight w:val="193"/>
        </w:trPr>
        <w:tc>
          <w:tcPr>
            <w:tcW w:w="6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4"/>
        </w:trPr>
        <w:tc>
          <w:tcPr>
            <w:tcW w:w="626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Net (loss) income</w:t>
            </w:r>
          </w:p>
        </w:tc>
        <w:tc>
          <w:tcPr>
            <w:tcW w:w="280" w:type="dxa"/>
            <w:vAlign w:val="bottom"/>
            <w:gridSpan w:val="2"/>
            <w:shd w:val="clear" w:color="auto" w:fill="EAEAEA"/>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(19,375)</w:t>
            </w:r>
          </w:p>
        </w:tc>
        <w:tc>
          <w:tcPr>
            <w:tcW w:w="440" w:type="dxa"/>
            <w:vAlign w:val="bottom"/>
            <w:gridSpan w:val="2"/>
            <w:shd w:val="clear" w:color="auto" w:fill="EAEAEA"/>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4,532</w:t>
            </w:r>
          </w:p>
        </w:tc>
        <w:tc>
          <w:tcPr>
            <w:tcW w:w="80" w:type="dxa"/>
            <w:vAlign w:val="bottom"/>
            <w:shd w:val="clear" w:color="auto" w:fill="EAEAEA"/>
          </w:tcPr>
          <w:p>
            <w:pPr>
              <w:spacing w:after="0"/>
              <w:rPr>
                <w:sz w:val="21"/>
                <w:szCs w:val="21"/>
                <w:color w:val="auto"/>
              </w:rPr>
            </w:pPr>
          </w:p>
        </w:tc>
      </w:tr>
      <w:tr>
        <w:trPr>
          <w:trHeight w:val="24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Pre-opening costs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8,317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7,607</w:t>
            </w:r>
          </w:p>
        </w:tc>
        <w:tc>
          <w:tcPr>
            <w:tcW w:w="80" w:type="dxa"/>
            <w:vAlign w:val="bottom"/>
          </w:tcPr>
          <w:p>
            <w:pPr>
              <w:spacing w:after="0"/>
              <w:rPr>
                <w:sz w:val="21"/>
                <w:szCs w:val="21"/>
                <w:color w:val="auto"/>
              </w:rPr>
            </w:pPr>
          </w:p>
        </w:tc>
      </w:tr>
      <w:tr>
        <w:trPr>
          <w:trHeight w:val="244"/>
        </w:trPr>
        <w:tc>
          <w:tcPr>
            <w:tcW w:w="626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Gain on remeasurement of previously held interest</w:t>
            </w:r>
          </w:p>
        </w:tc>
        <w:tc>
          <w:tcPr>
            <w:tcW w:w="12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1260" w:type="dxa"/>
            <w:vAlign w:val="bottom"/>
            <w:gridSpan w:val="2"/>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AEAEA"/>
          </w:tcPr>
          <w:p>
            <w:pPr>
              <w:spacing w:after="0"/>
              <w:rPr>
                <w:sz w:val="21"/>
                <w:szCs w:val="21"/>
                <w:color w:val="auto"/>
              </w:rPr>
            </w:pPr>
          </w:p>
        </w:tc>
        <w:tc>
          <w:tcPr>
            <w:tcW w:w="280" w:type="dxa"/>
            <w:vAlign w:val="bottom"/>
            <w:shd w:val="clear" w:color="auto" w:fill="EAEAEA"/>
          </w:tcPr>
          <w:p>
            <w:pPr>
              <w:spacing w:after="0"/>
              <w:rPr>
                <w:sz w:val="21"/>
                <w:szCs w:val="21"/>
                <w:color w:val="auto"/>
              </w:rPr>
            </w:pPr>
          </w:p>
        </w:tc>
        <w:tc>
          <w:tcPr>
            <w:tcW w:w="112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(3,402)</w:t>
            </w:r>
          </w:p>
        </w:tc>
      </w:tr>
      <w:tr>
        <w:trPr>
          <w:trHeight w:val="24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Stock-based compensation</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2,986</w:t>
            </w:r>
          </w:p>
        </w:tc>
        <w:tc>
          <w:tcPr>
            <w:tcW w:w="80" w:type="dxa"/>
            <w:vAlign w:val="bottom"/>
          </w:tcPr>
          <w:p>
            <w:pPr>
              <w:spacing w:after="0"/>
              <w:rPr>
                <w:sz w:val="21"/>
                <w:szCs w:val="21"/>
                <w:color w:val="auto"/>
              </w:rPr>
            </w:pPr>
          </w:p>
        </w:tc>
      </w:tr>
      <w:tr>
        <w:trPr>
          <w:trHeight w:val="244"/>
        </w:trPr>
        <w:tc>
          <w:tcPr>
            <w:tcW w:w="626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Impairment expense</w:t>
            </w:r>
          </w:p>
        </w:tc>
        <w:tc>
          <w:tcPr>
            <w:tcW w:w="12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11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5,527</w:t>
            </w:r>
          </w:p>
        </w:tc>
        <w:tc>
          <w:tcPr>
            <w:tcW w:w="8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280" w:type="dxa"/>
            <w:vAlign w:val="bottom"/>
            <w:shd w:val="clear" w:color="auto" w:fill="EAEAEA"/>
          </w:tcPr>
          <w:p>
            <w:pPr>
              <w:spacing w:after="0"/>
              <w:rPr>
                <w:sz w:val="21"/>
                <w:szCs w:val="21"/>
                <w:color w:val="auto"/>
              </w:rPr>
            </w:pPr>
          </w:p>
        </w:tc>
        <w:tc>
          <w:tcPr>
            <w:tcW w:w="1120" w:type="dxa"/>
            <w:vAlign w:val="bottom"/>
            <w:gridSpan w:val="2"/>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Legal settlement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26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Tax impact of adjustments</w:t>
            </w:r>
          </w:p>
        </w:tc>
        <w:tc>
          <w:tcPr>
            <w:tcW w:w="12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126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(782)</w:t>
            </w:r>
          </w:p>
        </w:tc>
        <w:tc>
          <w:tcPr>
            <w:tcW w:w="160" w:type="dxa"/>
            <w:vAlign w:val="bottom"/>
            <w:shd w:val="clear" w:color="auto" w:fill="EAEAEA"/>
          </w:tcPr>
          <w:p>
            <w:pPr>
              <w:spacing w:after="0"/>
              <w:rPr>
                <w:sz w:val="21"/>
                <w:szCs w:val="21"/>
                <w:color w:val="auto"/>
              </w:rPr>
            </w:pPr>
          </w:p>
        </w:tc>
        <w:tc>
          <w:tcPr>
            <w:tcW w:w="280" w:type="dxa"/>
            <w:vAlign w:val="bottom"/>
            <w:shd w:val="clear" w:color="auto" w:fill="EAEAEA"/>
          </w:tcPr>
          <w:p>
            <w:pPr>
              <w:spacing w:after="0"/>
              <w:rPr>
                <w:sz w:val="21"/>
                <w:szCs w:val="21"/>
                <w:color w:val="auto"/>
              </w:rPr>
            </w:pPr>
          </w:p>
        </w:tc>
        <w:tc>
          <w:tcPr>
            <w:tcW w:w="112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(125)</w:t>
            </w:r>
          </w:p>
        </w:tc>
      </w:tr>
      <w:tr>
        <w:trPr>
          <w:trHeight w:val="239"/>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Adjusted Net (loss) income</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(3,031)</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11,598</w:t>
            </w:r>
          </w:p>
        </w:tc>
        <w:tc>
          <w:tcPr>
            <w:tcW w:w="80" w:type="dxa"/>
            <w:vAlign w:val="bottom"/>
          </w:tcPr>
          <w:p>
            <w:pPr>
              <w:spacing w:after="0"/>
              <w:rPr>
                <w:sz w:val="20"/>
                <w:szCs w:val="20"/>
                <w:color w:val="auto"/>
              </w:rPr>
            </w:pPr>
          </w:p>
        </w:tc>
      </w:tr>
      <w:tr>
        <w:trPr>
          <w:trHeight w:val="244"/>
        </w:trPr>
        <w:tc>
          <w:tcPr>
            <w:tcW w:w="6260" w:type="dxa"/>
            <w:vAlign w:val="bottom"/>
            <w:shd w:val="clear" w:color="auto" w:fill="EAEAEA"/>
          </w:tcPr>
          <w:p>
            <w:pPr>
              <w:ind w:left="100"/>
              <w:spacing w:after="0"/>
              <w:rPr>
                <w:sz w:val="20"/>
                <w:szCs w:val="20"/>
                <w:color w:val="auto"/>
              </w:rPr>
            </w:pPr>
            <w:r>
              <w:rPr>
                <w:rFonts w:ascii="Times New Roman" w:cs="Times New Roman" w:eastAsia="Times New Roman" w:hAnsi="Times New Roman"/>
                <w:sz w:val="20"/>
                <w:szCs w:val="20"/>
                <w:color w:val="auto"/>
              </w:rPr>
              <w:t>Less: Adjusted net (loss) income attributable to non-controlling interest</w:t>
            </w:r>
          </w:p>
        </w:tc>
        <w:tc>
          <w:tcPr>
            <w:tcW w:w="12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126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(2,558)</w:t>
            </w:r>
          </w:p>
        </w:tc>
        <w:tc>
          <w:tcPr>
            <w:tcW w:w="160" w:type="dxa"/>
            <w:vAlign w:val="bottom"/>
            <w:shd w:val="clear" w:color="auto" w:fill="EAEAEA"/>
          </w:tcPr>
          <w:p>
            <w:pPr>
              <w:spacing w:after="0"/>
              <w:rPr>
                <w:sz w:val="21"/>
                <w:szCs w:val="21"/>
                <w:color w:val="auto"/>
              </w:rPr>
            </w:pPr>
          </w:p>
        </w:tc>
        <w:tc>
          <w:tcPr>
            <w:tcW w:w="280" w:type="dxa"/>
            <w:vAlign w:val="bottom"/>
            <w:shd w:val="clear" w:color="auto" w:fill="EAEAEA"/>
          </w:tcPr>
          <w:p>
            <w:pPr>
              <w:spacing w:after="0"/>
              <w:rPr>
                <w:sz w:val="21"/>
                <w:szCs w:val="21"/>
                <w:color w:val="auto"/>
              </w:rPr>
            </w:pPr>
          </w:p>
        </w:tc>
        <w:tc>
          <w:tcPr>
            <w:tcW w:w="1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10,044</w:t>
            </w:r>
          </w:p>
        </w:tc>
        <w:tc>
          <w:tcPr>
            <w:tcW w:w="80" w:type="dxa"/>
            <w:vAlign w:val="bottom"/>
            <w:shd w:val="clear" w:color="auto" w:fill="EAEAEA"/>
          </w:tcPr>
          <w:p>
            <w:pPr>
              <w:spacing w:after="0"/>
              <w:rPr>
                <w:sz w:val="21"/>
                <w:szCs w:val="21"/>
                <w:color w:val="auto"/>
              </w:rPr>
            </w:pPr>
          </w:p>
        </w:tc>
      </w:tr>
      <w:tr>
        <w:trPr>
          <w:trHeight w:val="239"/>
        </w:trPr>
        <w:tc>
          <w:tcPr>
            <w:tcW w:w="62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Adjusted net (loss) income attributable to GEN Restaurant Group, Inc.</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1,554</w:t>
            </w:r>
          </w:p>
        </w:tc>
        <w:tc>
          <w:tcPr>
            <w:tcW w:w="80" w:type="dxa"/>
            <w:vAlign w:val="bottom"/>
          </w:tcPr>
          <w:p>
            <w:pPr>
              <w:spacing w:after="0"/>
              <w:rPr>
                <w:sz w:val="20"/>
                <w:szCs w:val="20"/>
                <w:color w:val="auto"/>
              </w:rPr>
            </w:pPr>
          </w:p>
        </w:tc>
      </w:tr>
      <w:tr>
        <w:trPr>
          <w:trHeight w:val="244"/>
        </w:trPr>
        <w:tc>
          <w:tcPr>
            <w:tcW w:w="6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6260" w:type="dxa"/>
            <w:vAlign w:val="bottom"/>
            <w:shd w:val="clear" w:color="auto" w:fill="EAEAEA"/>
          </w:tcPr>
          <w:p>
            <w:pPr>
              <w:ind w:left="100"/>
              <w:spacing w:after="0" w:line="221" w:lineRule="exact"/>
              <w:rPr>
                <w:sz w:val="20"/>
                <w:szCs w:val="20"/>
                <w:color w:val="auto"/>
              </w:rPr>
            </w:pPr>
            <w:r>
              <w:rPr>
                <w:rFonts w:ascii="Times New Roman" w:cs="Times New Roman" w:eastAsia="Times New Roman" w:hAnsi="Times New Roman"/>
                <w:sz w:val="20"/>
                <w:szCs w:val="20"/>
                <w:b w:val="1"/>
                <w:bCs w:val="1"/>
                <w:color w:val="auto"/>
              </w:rPr>
              <w:t>Adjusted Net (loss) income attributable to Class A common stock per</w:t>
            </w:r>
          </w:p>
        </w:tc>
        <w:tc>
          <w:tcPr>
            <w:tcW w:w="12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18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280" w:type="dxa"/>
            <w:vAlign w:val="bottom"/>
            <w:shd w:val="clear" w:color="auto" w:fill="EAEAEA"/>
          </w:tcPr>
          <w:p>
            <w:pPr>
              <w:spacing w:after="0"/>
              <w:rPr>
                <w:sz w:val="19"/>
                <w:szCs w:val="19"/>
                <w:color w:val="auto"/>
              </w:rPr>
            </w:pPr>
          </w:p>
        </w:tc>
        <w:tc>
          <w:tcPr>
            <w:tcW w:w="104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r>
      <w:tr>
        <w:trPr>
          <w:trHeight w:val="273"/>
        </w:trPr>
        <w:tc>
          <w:tcPr>
            <w:tcW w:w="6260" w:type="dxa"/>
            <w:vAlign w:val="bottom"/>
            <w:shd w:val="clear" w:color="auto" w:fill="EAEAEA"/>
          </w:tcPr>
          <w:p>
            <w:pPr>
              <w:ind w:left="100"/>
              <w:spacing w:after="0"/>
              <w:rPr>
                <w:sz w:val="20"/>
                <w:szCs w:val="20"/>
                <w:color w:val="auto"/>
              </w:rPr>
            </w:pPr>
            <w:r>
              <w:rPr>
                <w:rFonts w:ascii="Times New Roman" w:cs="Times New Roman" w:eastAsia="Times New Roman" w:hAnsi="Times New Roman"/>
                <w:sz w:val="20"/>
                <w:szCs w:val="20"/>
                <w:b w:val="1"/>
                <w:bCs w:val="1"/>
                <w:color w:val="auto"/>
              </w:rPr>
              <w:t>share - basic and diluted</w:t>
            </w:r>
          </w:p>
        </w:tc>
        <w:tc>
          <w:tcPr>
            <w:tcW w:w="280" w:type="dxa"/>
            <w:vAlign w:val="bottom"/>
            <w:gridSpan w:val="2"/>
            <w:shd w:val="clear" w:color="auto" w:fill="EAEAEA"/>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(474)</w:t>
            </w:r>
          </w:p>
        </w:tc>
        <w:tc>
          <w:tcPr>
            <w:tcW w:w="440" w:type="dxa"/>
            <w:vAlign w:val="bottom"/>
            <w:gridSpan w:val="2"/>
            <w:shd w:val="clear" w:color="auto" w:fill="EAEAEA"/>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1,554</w:t>
            </w:r>
          </w:p>
        </w:tc>
        <w:tc>
          <w:tcPr>
            <w:tcW w:w="80" w:type="dxa"/>
            <w:vAlign w:val="bottom"/>
            <w:shd w:val="clear" w:color="auto" w:fill="EAEAEA"/>
          </w:tcPr>
          <w:p>
            <w:pPr>
              <w:spacing w:after="0"/>
              <w:rPr>
                <w:sz w:val="23"/>
                <w:szCs w:val="23"/>
                <w:color w:val="auto"/>
              </w:rPr>
            </w:pPr>
          </w:p>
        </w:tc>
      </w:tr>
      <w:tr>
        <w:trPr>
          <w:trHeight w:val="444"/>
        </w:trPr>
        <w:tc>
          <w:tcPr>
            <w:tcW w:w="6260" w:type="dxa"/>
            <w:vAlign w:val="bottom"/>
            <w:tcBorders>
              <w:top w:val="single" w:sz="8" w:color="EAEAEA"/>
            </w:tcBorders>
          </w:tcPr>
          <w:p>
            <w:pPr>
              <w:ind w:left="100"/>
              <w:spacing w:after="0"/>
              <w:rPr>
                <w:sz w:val="20"/>
                <w:szCs w:val="20"/>
                <w:color w:val="auto"/>
              </w:rPr>
            </w:pPr>
            <w:r>
              <w:rPr>
                <w:rFonts w:ascii="Times New Roman" w:cs="Times New Roman" w:eastAsia="Times New Roman" w:hAnsi="Times New Roman"/>
                <w:sz w:val="20"/>
                <w:szCs w:val="20"/>
                <w:color w:val="auto"/>
              </w:rPr>
              <w:t>Weighted-average shares of Class A common stock outstanding - basic and</w:t>
            </w:r>
          </w:p>
        </w:tc>
        <w:tc>
          <w:tcPr>
            <w:tcW w:w="120" w:type="dxa"/>
            <w:vAlign w:val="bottom"/>
            <w:tcBorders>
              <w:top w:val="single" w:sz="8" w:color="EAEAEA"/>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Borders>
              <w:top w:val="single" w:sz="8" w:color="EAEAEA"/>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Borders>
              <w:top w:val="single" w:sz="8" w:color="EAEAEA"/>
            </w:tcBorders>
          </w:tcPr>
          <w:p>
            <w:pPr>
              <w:spacing w:after="0"/>
              <w:rPr>
                <w:sz w:val="24"/>
                <w:szCs w:val="24"/>
                <w:color w:val="auto"/>
              </w:rPr>
            </w:pPr>
          </w:p>
        </w:tc>
      </w:tr>
      <w:tr>
        <w:trPr>
          <w:trHeight w:val="250"/>
        </w:trPr>
        <w:tc>
          <w:tcPr>
            <w:tcW w:w="62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diluted</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4,668</w:t>
            </w:r>
          </w:p>
        </w:tc>
        <w:tc>
          <w:tcPr>
            <w:tcW w:w="80" w:type="dxa"/>
            <w:vAlign w:val="bottom"/>
          </w:tcPr>
          <w:p>
            <w:pPr>
              <w:spacing w:after="0"/>
              <w:rPr>
                <w:sz w:val="21"/>
                <w:szCs w:val="21"/>
                <w:color w:val="auto"/>
              </w:rPr>
            </w:pPr>
          </w:p>
        </w:tc>
      </w:tr>
      <w:tr>
        <w:trPr>
          <w:trHeight w:val="244"/>
        </w:trPr>
        <w:tc>
          <w:tcPr>
            <w:tcW w:w="626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118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280" w:type="dxa"/>
            <w:vAlign w:val="bottom"/>
            <w:shd w:val="clear" w:color="auto" w:fill="EAEAEA"/>
          </w:tcPr>
          <w:p>
            <w:pPr>
              <w:spacing w:after="0"/>
              <w:rPr>
                <w:sz w:val="21"/>
                <w:szCs w:val="21"/>
                <w:color w:val="auto"/>
              </w:rPr>
            </w:pPr>
          </w:p>
        </w:tc>
        <w:tc>
          <w:tcPr>
            <w:tcW w:w="104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r>
      <w:tr>
        <w:trPr>
          <w:trHeight w:val="224"/>
        </w:trPr>
        <w:tc>
          <w:tcPr>
            <w:tcW w:w="6260" w:type="dxa"/>
            <w:vAlign w:val="bottom"/>
          </w:tcPr>
          <w:p>
            <w:pPr>
              <w:ind w:left="400"/>
              <w:spacing w:after="0" w:line="225" w:lineRule="exact"/>
              <w:rPr>
                <w:sz w:val="20"/>
                <w:szCs w:val="20"/>
                <w:color w:val="auto"/>
              </w:rPr>
            </w:pPr>
            <w:r>
              <w:rPr>
                <w:rFonts w:ascii="Times New Roman" w:cs="Times New Roman" w:eastAsia="Times New Roman" w:hAnsi="Times New Roman"/>
                <w:sz w:val="20"/>
                <w:szCs w:val="20"/>
                <w:color w:val="auto"/>
              </w:rPr>
              <w:t>Adjusted Net (loss) income per share of Class A common stock - basic</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66"/>
        </w:trPr>
        <w:tc>
          <w:tcPr>
            <w:tcW w:w="6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and diluted</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(0.09)</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0.33</w:t>
            </w:r>
          </w:p>
        </w:tc>
        <w:tc>
          <w:tcPr>
            <w:tcW w:w="80" w:type="dxa"/>
            <w:vAlign w:val="bottom"/>
          </w:tcPr>
          <w:p>
            <w:pPr>
              <w:spacing w:after="0"/>
              <w:rPr>
                <w:sz w:val="23"/>
                <w:szCs w:val="23"/>
                <w:color w:val="auto"/>
              </w:rPr>
            </w:pPr>
          </w:p>
        </w:tc>
      </w:tr>
    </w:tbl>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Restaurant-Level Adjusted EBITDA and Restaurant-Level Adjusted EBITDA Margin</w:t>
      </w:r>
    </w:p>
    <w:p>
      <w:pPr>
        <w:spacing w:after="0" w:line="120" w:lineRule="exact"/>
        <w:rPr>
          <w:sz w:val="20"/>
          <w:szCs w:val="20"/>
          <w:color w:val="auto"/>
        </w:rPr>
      </w:pPr>
    </w:p>
    <w:p>
      <w:pPr>
        <w:ind w:right="340" w:firstLine="490"/>
        <w:spacing w:after="0" w:line="252" w:lineRule="auto"/>
        <w:rPr>
          <w:sz w:val="20"/>
          <w:szCs w:val="20"/>
          <w:color w:val="auto"/>
        </w:rPr>
      </w:pPr>
      <w:r>
        <w:rPr>
          <w:rFonts w:ascii="Times New Roman" w:cs="Times New Roman" w:eastAsia="Times New Roman" w:hAnsi="Times New Roman"/>
          <w:sz w:val="20"/>
          <w:szCs w:val="20"/>
          <w:color w:val="auto"/>
        </w:rPr>
        <w:t>We define Restaurant-Level Adjusted EBITDA as Income from operations plus adjustments to add-back the following expenses: depreciation and amortization, pre-opening costs, general and administrative expenses, related party consulting fees, management fees and non-cash lease expense. We define Restaurant-Level Adjusted EBITDA Margin as Restaurant-Level Adjusted EBITDA divided by revenue.</w:t>
      </w:r>
    </w:p>
    <w:p>
      <w:pPr>
        <w:spacing w:after="0" w:line="194" w:lineRule="exact"/>
        <w:rPr>
          <w:sz w:val="20"/>
          <w:szCs w:val="20"/>
          <w:color w:val="auto"/>
        </w:rPr>
      </w:pPr>
    </w:p>
    <w:p>
      <w:pPr>
        <w:ind w:right="260" w:firstLine="490"/>
        <w:spacing w:after="0" w:line="252" w:lineRule="auto"/>
        <w:rPr>
          <w:sz w:val="20"/>
          <w:szCs w:val="20"/>
          <w:color w:val="auto"/>
        </w:rPr>
      </w:pPr>
      <w:r>
        <w:rPr>
          <w:rFonts w:ascii="Times New Roman" w:cs="Times New Roman" w:eastAsia="Times New Roman" w:hAnsi="Times New Roman"/>
          <w:sz w:val="20"/>
          <w:szCs w:val="20"/>
          <w:color w:val="auto"/>
        </w:rPr>
        <w:t>As with Adjusted EBITDA and Adjusted EBITDA Margin, we believe that Restaurant-Level Adjusted EBITDA and Restaurant-Level Adjusted EBITDA Margin provide useful information to management and investors regarding certain financial and business trends relating to our financial condition and operating results, as these measures depict normal, recurring cash operating expenses essential to supporting the operations of our restaurants.</w:t>
      </w:r>
    </w:p>
    <w:p>
      <w:pPr>
        <w:spacing w:after="0" w:line="194" w:lineRule="exact"/>
        <w:rPr>
          <w:sz w:val="20"/>
          <w:szCs w:val="20"/>
          <w:color w:val="auto"/>
        </w:rPr>
      </w:pPr>
    </w:p>
    <w:p>
      <w:pPr>
        <w:ind w:right="400" w:firstLine="490"/>
        <w:spacing w:after="0" w:line="252" w:lineRule="auto"/>
        <w:rPr>
          <w:sz w:val="20"/>
          <w:szCs w:val="20"/>
          <w:color w:val="auto"/>
        </w:rPr>
      </w:pPr>
      <w:r>
        <w:rPr>
          <w:rFonts w:ascii="Times New Roman" w:cs="Times New Roman" w:eastAsia="Times New Roman" w:hAnsi="Times New Roman"/>
          <w:sz w:val="20"/>
          <w:szCs w:val="20"/>
          <w:color w:val="auto"/>
        </w:rPr>
        <w:t>However, you should be aware that Restaurant-Level Adjusted EBITDA and Restaurant-Level Adjusted EBITDA Margin are financial measures that are not indicative of overall results for our company, and Restaurant-Level Adjusted EBITDA and Restaurant-Level Adjusted EBITDA Margin do not accrue directly to the benefit of stockholders because of corporate-level and non-cash expenses excluded from such measures.</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540"/>
          </w:cols>
          <w:pgMar w:left="1260" w:top="1240" w:right="1440" w:bottom="355" w:gutter="0" w:footer="0" w:header="0"/>
          <w:type w:val="continuous"/>
        </w:sectPr>
      </w:pPr>
    </w:p>
    <w:bookmarkStart w:id="54" w:name="page55"/>
    <w:bookmarkEnd w:id="54"/>
    <w:p>
      <w:pPr>
        <w:ind w:right="440" w:firstLine="490"/>
        <w:spacing w:after="0" w:line="277" w:lineRule="auto"/>
        <w:rPr>
          <w:sz w:val="20"/>
          <w:szCs w:val="20"/>
          <w:color w:val="auto"/>
        </w:rPr>
      </w:pPr>
      <w:r>
        <w:rPr>
          <w:rFonts w:ascii="Times New Roman" w:cs="Times New Roman" w:eastAsia="Times New Roman" w:hAnsi="Times New Roman"/>
          <w:sz w:val="20"/>
          <w:szCs w:val="20"/>
          <w:color w:val="auto"/>
        </w:rPr>
        <w:t>The following table reconciles Income from Operations to Restaurant-Level Adjusted EBITDA for the year ended December 31, 2025 and 2024.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40" w:type="dxa"/>
            <w:vAlign w:val="bottom"/>
            <w:gridSpan w:val="6"/>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Twelve months ended December 31,</w:t>
            </w:r>
          </w:p>
        </w:tc>
      </w:tr>
      <w:tr>
        <w:trPr>
          <w:trHeight w:val="193"/>
        </w:trPr>
        <w:tc>
          <w:tcPr>
            <w:tcW w:w="4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r>
      <w:tr>
        <w:trPr>
          <w:trHeight w:val="193"/>
        </w:trPr>
        <w:tc>
          <w:tcPr>
            <w:tcW w:w="4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44"/>
        </w:trPr>
        <w:tc>
          <w:tcPr>
            <w:tcW w:w="48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rPr>
              <w:t>(Loss) income from Operations</w:t>
            </w:r>
          </w:p>
        </w:tc>
        <w:tc>
          <w:tcPr>
            <w:tcW w:w="138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gridSpan w:val="2"/>
            <w:shd w:val="clear" w:color="auto" w:fill="EAEAEA"/>
          </w:tcPr>
          <w:p>
            <w:pPr>
              <w:jc w:val="right"/>
              <w:ind w:right="280"/>
              <w:spacing w:after="0"/>
              <w:rPr>
                <w:sz w:val="20"/>
                <w:szCs w:val="20"/>
                <w:color w:val="auto"/>
              </w:rPr>
            </w:pPr>
            <w:r>
              <w:rPr>
                <w:rFonts w:ascii="Times New Roman" w:cs="Times New Roman" w:eastAsia="Times New Roman" w:hAnsi="Times New Roman"/>
                <w:sz w:val="20"/>
                <w:szCs w:val="20"/>
                <w:color w:val="auto"/>
              </w:rPr>
              <w:t>(19,993)</w:t>
            </w:r>
          </w:p>
        </w:tc>
        <w:tc>
          <w:tcPr>
            <w:tcW w:w="420" w:type="dxa"/>
            <w:vAlign w:val="bottom"/>
            <w:gridSpan w:val="2"/>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476</w:t>
            </w:r>
          </w:p>
        </w:tc>
        <w:tc>
          <w:tcPr>
            <w:tcW w:w="200" w:type="dxa"/>
            <w:vAlign w:val="bottom"/>
            <w:shd w:val="clear" w:color="auto" w:fill="EAEAEA"/>
          </w:tcPr>
          <w:p>
            <w:pPr>
              <w:spacing w:after="0"/>
              <w:rPr>
                <w:sz w:val="21"/>
                <w:szCs w:val="21"/>
                <w:color w:val="auto"/>
              </w:rPr>
            </w:pPr>
          </w:p>
        </w:tc>
      </w:tr>
      <w:tr>
        <w:trPr>
          <w:trHeight w:val="244"/>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(Loss) Income Margin from Operations</w:t>
            </w: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0.2%</w:t>
            </w:r>
          </w:p>
        </w:tc>
      </w:tr>
      <w:tr>
        <w:trPr>
          <w:trHeight w:val="244"/>
        </w:trPr>
        <w:tc>
          <w:tcPr>
            <w:tcW w:w="48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160" w:type="dxa"/>
            <w:vAlign w:val="bottom"/>
            <w:shd w:val="clear" w:color="auto" w:fill="EAEAEA"/>
          </w:tcPr>
          <w:p>
            <w:pPr>
              <w:spacing w:after="0"/>
              <w:rPr>
                <w:sz w:val="21"/>
                <w:szCs w:val="21"/>
                <w:color w:val="auto"/>
              </w:rPr>
            </w:pPr>
          </w:p>
        </w:tc>
        <w:tc>
          <w:tcPr>
            <w:tcW w:w="220" w:type="dxa"/>
            <w:vAlign w:val="bottom"/>
            <w:shd w:val="clear" w:color="auto" w:fill="EAEAEA"/>
          </w:tcPr>
          <w:p>
            <w:pPr>
              <w:spacing w:after="0"/>
              <w:rPr>
                <w:sz w:val="21"/>
                <w:szCs w:val="21"/>
                <w:color w:val="auto"/>
              </w:rPr>
            </w:pPr>
          </w:p>
        </w:tc>
        <w:tc>
          <w:tcPr>
            <w:tcW w:w="11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9,120</w:t>
            </w:r>
          </w:p>
        </w:tc>
        <w:tc>
          <w:tcPr>
            <w:tcW w:w="34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300" w:type="dxa"/>
            <w:vAlign w:val="bottom"/>
            <w:shd w:val="clear" w:color="auto" w:fill="EAEAEA"/>
          </w:tcPr>
          <w:p>
            <w:pPr>
              <w:spacing w:after="0"/>
              <w:rPr>
                <w:sz w:val="21"/>
                <w:szCs w:val="21"/>
                <w:color w:val="auto"/>
              </w:rPr>
            </w:pPr>
          </w:p>
        </w:tc>
        <w:tc>
          <w:tcPr>
            <w:tcW w:w="10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6,857</w:t>
            </w:r>
          </w:p>
        </w:tc>
        <w:tc>
          <w:tcPr>
            <w:tcW w:w="200" w:type="dxa"/>
            <w:vAlign w:val="bottom"/>
            <w:shd w:val="clear" w:color="auto" w:fill="EAEAEA"/>
          </w:tcPr>
          <w:p>
            <w:pPr>
              <w:spacing w:after="0"/>
              <w:rPr>
                <w:sz w:val="21"/>
                <w:szCs w:val="21"/>
                <w:color w:val="auto"/>
              </w:rPr>
            </w:pPr>
          </w:p>
        </w:tc>
      </w:tr>
      <w:tr>
        <w:trPr>
          <w:trHeight w:val="244"/>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Pre-opening costs</w:t>
            </w: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8,317</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7,607</w:t>
            </w:r>
          </w:p>
        </w:tc>
        <w:tc>
          <w:tcPr>
            <w:tcW w:w="200" w:type="dxa"/>
            <w:vAlign w:val="bottom"/>
          </w:tcPr>
          <w:p>
            <w:pPr>
              <w:spacing w:after="0"/>
              <w:rPr>
                <w:sz w:val="21"/>
                <w:szCs w:val="21"/>
                <w:color w:val="auto"/>
              </w:rPr>
            </w:pPr>
          </w:p>
        </w:tc>
      </w:tr>
      <w:tr>
        <w:trPr>
          <w:trHeight w:val="244"/>
        </w:trPr>
        <w:tc>
          <w:tcPr>
            <w:tcW w:w="48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160" w:type="dxa"/>
            <w:vAlign w:val="bottom"/>
            <w:shd w:val="clear" w:color="auto" w:fill="EAEAEA"/>
          </w:tcPr>
          <w:p>
            <w:pPr>
              <w:spacing w:after="0"/>
              <w:rPr>
                <w:sz w:val="21"/>
                <w:szCs w:val="21"/>
                <w:color w:val="auto"/>
              </w:rPr>
            </w:pPr>
          </w:p>
        </w:tc>
        <w:tc>
          <w:tcPr>
            <w:tcW w:w="220" w:type="dxa"/>
            <w:vAlign w:val="bottom"/>
            <w:shd w:val="clear" w:color="auto" w:fill="EAEAEA"/>
          </w:tcPr>
          <w:p>
            <w:pPr>
              <w:spacing w:after="0"/>
              <w:rPr>
                <w:sz w:val="21"/>
                <w:szCs w:val="21"/>
                <w:color w:val="auto"/>
              </w:rPr>
            </w:pPr>
          </w:p>
        </w:tc>
        <w:tc>
          <w:tcPr>
            <w:tcW w:w="11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25,935</w:t>
            </w:r>
          </w:p>
        </w:tc>
        <w:tc>
          <w:tcPr>
            <w:tcW w:w="34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300" w:type="dxa"/>
            <w:vAlign w:val="bottom"/>
            <w:shd w:val="clear" w:color="auto" w:fill="EAEAEA"/>
          </w:tcPr>
          <w:p>
            <w:pPr>
              <w:spacing w:after="0"/>
              <w:rPr>
                <w:sz w:val="21"/>
                <w:szCs w:val="21"/>
                <w:color w:val="auto"/>
              </w:rPr>
            </w:pPr>
          </w:p>
        </w:tc>
        <w:tc>
          <w:tcPr>
            <w:tcW w:w="10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21,326</w:t>
            </w:r>
          </w:p>
        </w:tc>
        <w:tc>
          <w:tcPr>
            <w:tcW w:w="200" w:type="dxa"/>
            <w:vAlign w:val="bottom"/>
            <w:shd w:val="clear" w:color="auto" w:fill="EAEAEA"/>
          </w:tcPr>
          <w:p>
            <w:pPr>
              <w:spacing w:after="0"/>
              <w:rPr>
                <w:sz w:val="21"/>
                <w:szCs w:val="21"/>
                <w:color w:val="auto"/>
              </w:rPr>
            </w:pPr>
          </w:p>
        </w:tc>
      </w:tr>
      <w:tr>
        <w:trPr>
          <w:trHeight w:val="244"/>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Impairment expense</w:t>
            </w: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5,527</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48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Non-cash lease expense</w:t>
            </w:r>
          </w:p>
        </w:tc>
        <w:tc>
          <w:tcPr>
            <w:tcW w:w="1160" w:type="dxa"/>
            <w:vAlign w:val="bottom"/>
            <w:shd w:val="clear" w:color="auto" w:fill="EAEAEA"/>
          </w:tcPr>
          <w:p>
            <w:pPr>
              <w:spacing w:after="0"/>
              <w:rPr>
                <w:sz w:val="21"/>
                <w:szCs w:val="21"/>
                <w:color w:val="auto"/>
              </w:rPr>
            </w:pPr>
          </w:p>
        </w:tc>
        <w:tc>
          <w:tcPr>
            <w:tcW w:w="220" w:type="dxa"/>
            <w:vAlign w:val="bottom"/>
            <w:tcBorders>
              <w:bottom w:val="single" w:sz="8" w:color="auto"/>
            </w:tcBorders>
            <w:shd w:val="clear" w:color="auto" w:fill="EAEAEA"/>
          </w:tcPr>
          <w:p>
            <w:pPr>
              <w:spacing w:after="0"/>
              <w:rPr>
                <w:sz w:val="21"/>
                <w:szCs w:val="21"/>
                <w:color w:val="auto"/>
              </w:rPr>
            </w:pPr>
          </w:p>
        </w:tc>
        <w:tc>
          <w:tcPr>
            <w:tcW w:w="110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474</w:t>
            </w:r>
          </w:p>
        </w:tc>
        <w:tc>
          <w:tcPr>
            <w:tcW w:w="34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300" w:type="dxa"/>
            <w:vAlign w:val="bottom"/>
            <w:tcBorders>
              <w:bottom w:val="single" w:sz="8" w:color="auto"/>
            </w:tcBorders>
            <w:shd w:val="clear" w:color="auto" w:fill="EAEAEA"/>
          </w:tcPr>
          <w:p>
            <w:pPr>
              <w:spacing w:after="0"/>
              <w:rPr>
                <w:sz w:val="21"/>
                <w:szCs w:val="21"/>
                <w:color w:val="auto"/>
              </w:rPr>
            </w:pPr>
          </w:p>
        </w:tc>
        <w:tc>
          <w:tcPr>
            <w:tcW w:w="108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677</w:t>
            </w:r>
          </w:p>
        </w:tc>
        <w:tc>
          <w:tcPr>
            <w:tcW w:w="200" w:type="dxa"/>
            <w:vAlign w:val="bottom"/>
            <w:shd w:val="clear" w:color="auto" w:fill="EAEAEA"/>
          </w:tcPr>
          <w:p>
            <w:pPr>
              <w:spacing w:after="0"/>
              <w:rPr>
                <w:sz w:val="21"/>
                <w:szCs w:val="21"/>
                <w:color w:val="auto"/>
              </w:rPr>
            </w:pPr>
          </w:p>
        </w:tc>
      </w:tr>
      <w:tr>
        <w:trPr>
          <w:trHeight w:val="239"/>
        </w:trPr>
        <w:tc>
          <w:tcPr>
            <w:tcW w:w="4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Restaurant-Level Adjusted EBITDA</w:t>
            </w:r>
          </w:p>
        </w:tc>
        <w:tc>
          <w:tcPr>
            <w:tcW w:w="1160" w:type="dxa"/>
            <w:vAlign w:val="bottom"/>
          </w:tcPr>
          <w:p>
            <w:pPr>
              <w:spacing w:after="0"/>
              <w:rPr>
                <w:sz w:val="20"/>
                <w:szCs w:val="20"/>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29,380</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36,943</w:t>
            </w:r>
          </w:p>
        </w:tc>
        <w:tc>
          <w:tcPr>
            <w:tcW w:w="200" w:type="dxa"/>
            <w:vAlign w:val="bottom"/>
          </w:tcPr>
          <w:p>
            <w:pPr>
              <w:spacing w:after="0"/>
              <w:rPr>
                <w:sz w:val="20"/>
                <w:szCs w:val="20"/>
                <w:color w:val="auto"/>
              </w:rPr>
            </w:pPr>
          </w:p>
        </w:tc>
      </w:tr>
      <w:tr>
        <w:trPr>
          <w:trHeight w:val="244"/>
        </w:trPr>
        <w:tc>
          <w:tcPr>
            <w:tcW w:w="48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b w:val="1"/>
                <w:bCs w:val="1"/>
                <w:i w:val="1"/>
                <w:iCs w:val="1"/>
                <w:color w:val="auto"/>
              </w:rPr>
              <w:t>Restaurant-Level Adjusted EBITDA Margin</w:t>
            </w:r>
          </w:p>
        </w:tc>
        <w:tc>
          <w:tcPr>
            <w:tcW w:w="1160" w:type="dxa"/>
            <w:vAlign w:val="bottom"/>
            <w:shd w:val="clear" w:color="auto" w:fill="EAEAEA"/>
          </w:tcPr>
          <w:p>
            <w:pPr>
              <w:spacing w:after="0"/>
              <w:rPr>
                <w:sz w:val="21"/>
                <w:szCs w:val="21"/>
                <w:color w:val="auto"/>
              </w:rPr>
            </w:pPr>
          </w:p>
        </w:tc>
        <w:tc>
          <w:tcPr>
            <w:tcW w:w="220" w:type="dxa"/>
            <w:vAlign w:val="bottom"/>
            <w:shd w:val="clear" w:color="auto" w:fill="EAEAEA"/>
          </w:tcPr>
          <w:p>
            <w:pPr>
              <w:spacing w:after="0"/>
              <w:rPr>
                <w:sz w:val="21"/>
                <w:szCs w:val="21"/>
                <w:color w:val="auto"/>
              </w:rPr>
            </w:pPr>
          </w:p>
        </w:tc>
        <w:tc>
          <w:tcPr>
            <w:tcW w:w="1440" w:type="dxa"/>
            <w:vAlign w:val="bottom"/>
            <w:gridSpan w:val="2"/>
            <w:shd w:val="clear" w:color="auto" w:fill="EAEAEA"/>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13.8%</w:t>
            </w:r>
          </w:p>
        </w:tc>
        <w:tc>
          <w:tcPr>
            <w:tcW w:w="120" w:type="dxa"/>
            <w:vAlign w:val="bottom"/>
            <w:shd w:val="clear" w:color="auto" w:fill="EAEAEA"/>
          </w:tcPr>
          <w:p>
            <w:pPr>
              <w:spacing w:after="0"/>
              <w:rPr>
                <w:sz w:val="21"/>
                <w:szCs w:val="21"/>
                <w:color w:val="auto"/>
              </w:rPr>
            </w:pPr>
          </w:p>
        </w:tc>
        <w:tc>
          <w:tcPr>
            <w:tcW w:w="300" w:type="dxa"/>
            <w:vAlign w:val="bottom"/>
            <w:shd w:val="clear" w:color="auto" w:fill="EAEAEA"/>
          </w:tcPr>
          <w:p>
            <w:pPr>
              <w:spacing w:after="0"/>
              <w:rPr>
                <w:sz w:val="21"/>
                <w:szCs w:val="21"/>
                <w:color w:val="auto"/>
              </w:rPr>
            </w:pPr>
          </w:p>
        </w:tc>
        <w:tc>
          <w:tcPr>
            <w:tcW w:w="128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b w:val="1"/>
                <w:bCs w:val="1"/>
                <w:color w:val="auto"/>
              </w:rPr>
              <w:t>17.7%</w:t>
            </w:r>
          </w:p>
        </w:tc>
      </w:tr>
    </w:tbl>
    <w:p>
      <w:pPr>
        <w:spacing w:after="0" w:line="200" w:lineRule="exact"/>
        <w:rPr>
          <w:sz w:val="20"/>
          <w:szCs w:val="20"/>
          <w:color w:val="auto"/>
        </w:rPr>
      </w:pPr>
    </w:p>
    <w:p>
      <w:pPr>
        <w:spacing w:after="0" w:line="211" w:lineRule="exact"/>
        <w:rPr>
          <w:sz w:val="20"/>
          <w:szCs w:val="20"/>
          <w:color w:val="auto"/>
        </w:rPr>
      </w:pPr>
    </w:p>
    <w:p>
      <w:pPr>
        <w:ind w:right="200" w:firstLine="490"/>
        <w:spacing w:after="0" w:line="243" w:lineRule="auto"/>
        <w:rPr>
          <w:sz w:val="20"/>
          <w:szCs w:val="20"/>
          <w:color w:val="auto"/>
        </w:rPr>
      </w:pPr>
      <w:r>
        <w:rPr>
          <w:rFonts w:ascii="Times New Roman" w:cs="Times New Roman" w:eastAsia="Times New Roman" w:hAnsi="Times New Roman"/>
          <w:sz w:val="20"/>
          <w:szCs w:val="20"/>
          <w:color w:val="auto"/>
        </w:rPr>
        <w:t>Adjusted EBITDA, Adjusted EBITDA Margin, Adjusted net (loss) income, Adjusted net (loss) income attributable to Class A common stock per share - basic and diluted, Restaurant-Level Adjusted EBITDA, and Restaurant-Level Adjusted EBITDA Margin are non-GAAP measures intended as supplemental measures of our performance and are neither required by, nor presented in accordance with GAAP. Our presentation of these measures should not be construed as an inference that our future results will be unaffected by unusual or non-recurring items. Our computation of Adjusted EBITDA, Adjusted EBITDA Margin, Adjusted net (loss) income, Adjusted net (loss) income attributable to Class A common stock per share-basic and diluted, Restaurant-Level Adjusted EBITDA and Restaurant-Level Adjusted EBITDA Margin may not be comparable to other similarly titled measures presented by other companies, because all companies may not calculate these measures in the same fashion. These non-GAAP financial measures have limitations as analytical tools, and you should not consider them in isolation or as a substitute for analysis of our results as reported under GAAP.</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13" w:lineRule="exact"/>
        <w:rPr>
          <w:sz w:val="20"/>
          <w:szCs w:val="20"/>
          <w:color w:val="auto"/>
        </w:rPr>
      </w:pPr>
    </w:p>
    <w:p>
      <w:pPr>
        <w:ind w:right="260" w:firstLine="490"/>
        <w:spacing w:after="0" w:line="236" w:lineRule="auto"/>
        <w:rPr>
          <w:sz w:val="20"/>
          <w:szCs w:val="20"/>
          <w:color w:val="auto"/>
        </w:rPr>
      </w:pPr>
      <w:r>
        <w:rPr>
          <w:rFonts w:ascii="Times New Roman" w:cs="Times New Roman" w:eastAsia="Times New Roman" w:hAnsi="Times New Roman"/>
          <w:sz w:val="20"/>
          <w:szCs w:val="20"/>
          <w:color w:val="auto"/>
        </w:rPr>
        <w:t>As of December 31, 2025 we had $ 2.8 million of cash and ($31.3) million of working capital deficit, which is calculated as current assets minus current liabilities, compared with $23.7 million of cash and ($7.2) million of working capital deficit as of December 31, 2024. On June 30, 2023, we completed the IPO of 4,140,000 shares of Class A common stock. The public offering price of the shares sold in the IPO was $12.00 per share, resulting in aggregate net proceeds to us of approximately $46.2 million after deducting the underwriting discounts and commission and offering expenses payable by us.</w:t>
      </w:r>
    </w:p>
    <w:p>
      <w:pPr>
        <w:spacing w:after="0" w:line="194" w:lineRule="exact"/>
        <w:rPr>
          <w:sz w:val="20"/>
          <w:szCs w:val="20"/>
          <w:color w:val="auto"/>
        </w:rPr>
      </w:pPr>
    </w:p>
    <w:p>
      <w:pPr>
        <w:ind w:right="180" w:firstLine="490"/>
        <w:spacing w:after="0" w:line="246" w:lineRule="auto"/>
        <w:rPr>
          <w:sz w:val="20"/>
          <w:szCs w:val="20"/>
          <w:color w:val="auto"/>
        </w:rPr>
      </w:pPr>
      <w:r>
        <w:rPr>
          <w:rFonts w:ascii="Times New Roman" w:cs="Times New Roman" w:eastAsia="Times New Roman" w:hAnsi="Times New Roman"/>
          <w:sz w:val="20"/>
          <w:szCs w:val="20"/>
          <w:color w:val="auto"/>
        </w:rPr>
        <w:t>Our primary uses of cash are for operational expenditures and capital investments, including new restaurants, costs incurred for restaurant remodels and restaurant equipment and fixtures. There is no guarantee that if we need to raise any additional capital that we will be able to do so.</w:t>
      </w:r>
    </w:p>
    <w:p>
      <w:pPr>
        <w:spacing w:after="0" w:line="188" w:lineRule="exact"/>
        <w:rPr>
          <w:sz w:val="20"/>
          <w:szCs w:val="20"/>
          <w:color w:val="auto"/>
        </w:rPr>
      </w:pPr>
    </w:p>
    <w:p>
      <w:pPr>
        <w:ind w:right="220" w:firstLine="490"/>
        <w:spacing w:after="0" w:line="234" w:lineRule="auto"/>
        <w:rPr>
          <w:sz w:val="20"/>
          <w:szCs w:val="20"/>
          <w:color w:val="auto"/>
        </w:rPr>
      </w:pPr>
      <w:r>
        <w:rPr>
          <w:rFonts w:ascii="Times New Roman" w:cs="Times New Roman" w:eastAsia="Times New Roman" w:hAnsi="Times New Roman"/>
          <w:sz w:val="20"/>
          <w:szCs w:val="20"/>
          <w:color w:val="auto"/>
        </w:rPr>
        <w:t>Prior to the IPO certain companies within GEN Restaurant Group made distributions to their members, which impacted our cash position upon completion of the IPO. The operating agreements of most of the companies within GEN Restaurant Group, as separate private entities prior to the Reorganization, mandated annual or quarterly distributions of available cash and/or tax distributions in an amount sufficient to allow members to pay taxes on income allocated to them. We determined the amount of these distributions based on the operating cash flow of each such entity. During the year ended December 31, 2023, an aggregate of $26.5 million of distributions were made, and during the year ended December 31, 2024, an aggregate of approximately $0.9 million of distributions were made related to income taxes.</w:t>
      </w:r>
    </w:p>
    <w:p>
      <w:pPr>
        <w:spacing w:after="0" w:line="194" w:lineRule="exact"/>
        <w:rPr>
          <w:sz w:val="20"/>
          <w:szCs w:val="20"/>
          <w:color w:val="auto"/>
        </w:rPr>
      </w:pPr>
    </w:p>
    <w:p>
      <w:pPr>
        <w:ind w:right="240" w:firstLine="490"/>
        <w:spacing w:after="0" w:line="237" w:lineRule="auto"/>
        <w:rPr>
          <w:sz w:val="20"/>
          <w:szCs w:val="20"/>
          <w:color w:val="auto"/>
        </w:rPr>
      </w:pPr>
      <w:r>
        <w:rPr>
          <w:rFonts w:ascii="Times New Roman" w:cs="Times New Roman" w:eastAsia="Times New Roman" w:hAnsi="Times New Roman"/>
          <w:sz w:val="20"/>
          <w:szCs w:val="20"/>
          <w:color w:val="auto"/>
        </w:rPr>
        <w:t>We believe that cash provided by operating activities and cash on hand will be sufficient to fund our lease obligations, capital expenditures and working capital needs for at least the next 12 months. Upon the IPO transaction, GEN Inc. became a holding company with no operations of its own. Accordingly, GEN Inc. is dependent on distributions from GEN LLC to pay its taxes, its obligations under the Tax Receivable Agreement and other expenses.</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540"/>
          </w:cols>
          <w:pgMar w:left="1260" w:top="1240" w:right="1440" w:bottom="355" w:gutter="0" w:footer="0" w:header="0"/>
          <w:type w:val="continuous"/>
        </w:sectPr>
      </w:pPr>
    </w:p>
    <w:bookmarkStart w:id="55" w:name="page56"/>
    <w:bookmarkEnd w:id="55"/>
    <w:p>
      <w:pPr>
        <w:ind w:right="180" w:firstLine="490"/>
        <w:spacing w:after="0" w:line="244" w:lineRule="auto"/>
        <w:rPr>
          <w:sz w:val="20"/>
          <w:szCs w:val="20"/>
          <w:color w:val="auto"/>
        </w:rPr>
      </w:pPr>
      <w:r>
        <w:rPr>
          <w:rFonts w:ascii="Times New Roman" w:cs="Times New Roman" w:eastAsia="Times New Roman" w:hAnsi="Times New Roman"/>
          <w:sz w:val="20"/>
          <w:szCs w:val="20"/>
          <w:color w:val="auto"/>
        </w:rPr>
        <w:t>In connection with the Reorganization, certain members of GEN LLC received the right to receive future payments pursuant to the Tax Receivable Agreement. The amount payable under the Tax Receivable Agreement will be based on an annual calculation of the reduction in our U.S. federal, state and local taxes resulting from the utilization of certain tax benefits resulting from sales and exchanges by certain members of GEN LLC. We expect that payments that we may be required to make under the Tax Receivable Agreement may be substantial. Assuming no material changes in the relevant tax law and that we earn sufficient taxable income to realize all tax benefits that are subject to the Tax Receivable Agreement, we expect that the reduction in tax payments for us associated with the federal, state and local tax benefits described above would aggregate to approximately $117.2 million through 2037. Under such scenario we would be required to pay certain members of GEN LLC 85% of such amount, or $99.6 million through 2037.</w:t>
      </w:r>
    </w:p>
    <w:p>
      <w:pPr>
        <w:spacing w:after="0" w:line="202"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auto"/>
        </w:rPr>
        <w:t>The actual amounts may materially differ from these hypothetical amounts as potential future reductions in tax payments for us and Tax Receivable Agreement payments by us will be calculated using prevailing tax rates applicable to us over the life of the Tax Receivable Agreement and will be dependent on us generating sufficient future taxable income to realize the benefit.</w:t>
      </w:r>
    </w:p>
    <w:p>
      <w:pPr>
        <w:spacing w:after="0" w:line="194" w:lineRule="exact"/>
        <w:rPr>
          <w:sz w:val="20"/>
          <w:szCs w:val="20"/>
          <w:color w:val="auto"/>
        </w:rPr>
      </w:pPr>
    </w:p>
    <w:p>
      <w:pPr>
        <w:ind w:right="440" w:firstLine="490"/>
        <w:spacing w:after="0" w:line="249" w:lineRule="auto"/>
        <w:rPr>
          <w:sz w:val="20"/>
          <w:szCs w:val="20"/>
          <w:color w:val="auto"/>
        </w:rPr>
      </w:pPr>
      <w:r>
        <w:rPr>
          <w:rFonts w:ascii="Times New Roman" w:cs="Times New Roman" w:eastAsia="Times New Roman" w:hAnsi="Times New Roman"/>
          <w:sz w:val="20"/>
          <w:szCs w:val="20"/>
          <w:color w:val="auto"/>
        </w:rPr>
        <w:t>We cannot reasonably estimate future annual payments under the Tax Receivable Agreement given the difficulty in determining those estimates as they are dependent on a number of factors, including the extent of exchanges by continuing GEN LLC unitholders, the associated fair value of the underlying GEN LLC units at the time of those exchanges, the tax rates applicable, our future income, and the associated tax benefits that might be realized that would trigger a Tax Receivable Agreement payment requirement.</w:t>
      </w:r>
    </w:p>
    <w:p>
      <w:pPr>
        <w:spacing w:after="0" w:line="197" w:lineRule="exact"/>
        <w:rPr>
          <w:sz w:val="20"/>
          <w:szCs w:val="20"/>
          <w:color w:val="auto"/>
        </w:rPr>
      </w:pPr>
    </w:p>
    <w:p>
      <w:pPr>
        <w:ind w:right="380" w:firstLine="490"/>
        <w:spacing w:after="0" w:line="246" w:lineRule="auto"/>
        <w:rPr>
          <w:sz w:val="20"/>
          <w:szCs w:val="20"/>
          <w:color w:val="auto"/>
        </w:rPr>
      </w:pPr>
      <w:r>
        <w:rPr>
          <w:rFonts w:ascii="Times New Roman" w:cs="Times New Roman" w:eastAsia="Times New Roman" w:hAnsi="Times New Roman"/>
          <w:sz w:val="20"/>
          <w:szCs w:val="20"/>
          <w:color w:val="auto"/>
        </w:rPr>
        <w:t>However, a significant portion of any potential future payments under the Tax Receivable Agreement is anticipated to be payable over 15 years, consistent with the period over which the associated tax deductions would be realized by GEN Inc., assuming GEN LLC generates sufficient income to utilize the deductions. If sufficient income is not generated by GEN LLC, the associated taxable income of GEN Inc. will be impacted and the associated tax benefits to be realized will be limited, thereby similarly reducing the associated Tax Receivable Agreement payments to be made. Given the length of time over which payments would be payable, the impact to liquidity in any single year may be greatly reduced.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Summary of Cash Flows</w:t>
      </w:r>
    </w:p>
    <w:p>
      <w:pPr>
        <w:spacing w:after="0" w:line="120"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auto"/>
        </w:rPr>
        <w:t>Our primary sources of liquidity are operating cash flows, cash on hand and debt borrowings. We use these sources to fund expenditures for new restaurant openings, reinvest in our existing restaurants, and increase our working capital. Our working capital position benefits from the fact that we generally collect cash from sales to guests the same day, or in the case of credit or debit card transactions, within several days of the related sale, and we typically have at least 30 days to pay our vendors.</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our cash flows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gridSpan w:val="5"/>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9"/>
        </w:trPr>
        <w:tc>
          <w:tcPr>
            <w:tcW w:w="63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(amounts in thousands)</w:t>
            </w: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28"/>
              <w:spacing w:after="0" w:line="179" w:lineRule="exact"/>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25"/>
              <w:spacing w:after="0" w:line="179"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3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rPr>
              <w:t>Summary of Cash Flows</w:t>
            </w:r>
          </w:p>
        </w:tc>
        <w:tc>
          <w:tcPr>
            <w:tcW w:w="320" w:type="dxa"/>
            <w:vAlign w:val="bottom"/>
            <w:shd w:val="clear" w:color="auto" w:fill="EAEAEA"/>
          </w:tcPr>
          <w:p>
            <w:pPr>
              <w:spacing w:after="0"/>
              <w:rPr>
                <w:sz w:val="20"/>
                <w:szCs w:val="20"/>
                <w:color w:val="auto"/>
              </w:rPr>
            </w:pPr>
          </w:p>
        </w:tc>
        <w:tc>
          <w:tcPr>
            <w:tcW w:w="1040" w:type="dxa"/>
            <w:vAlign w:val="bottom"/>
            <w:shd w:val="clear" w:color="auto" w:fill="EAEAEA"/>
          </w:tcPr>
          <w:p>
            <w:pPr>
              <w:spacing w:after="0"/>
              <w:rPr>
                <w:sz w:val="20"/>
                <w:szCs w:val="20"/>
                <w:color w:val="auto"/>
              </w:rPr>
            </w:pPr>
          </w:p>
        </w:tc>
        <w:tc>
          <w:tcPr>
            <w:tcW w:w="240" w:type="dxa"/>
            <w:vAlign w:val="bottom"/>
            <w:shd w:val="clear" w:color="auto" w:fill="EAEAEA"/>
          </w:tcPr>
          <w:p>
            <w:pPr>
              <w:spacing w:after="0"/>
              <w:rPr>
                <w:sz w:val="20"/>
                <w:szCs w:val="20"/>
                <w:color w:val="auto"/>
              </w:rPr>
            </w:pPr>
          </w:p>
        </w:tc>
        <w:tc>
          <w:tcPr>
            <w:tcW w:w="300" w:type="dxa"/>
            <w:vAlign w:val="bottom"/>
            <w:shd w:val="clear" w:color="auto" w:fill="EAEAEA"/>
          </w:tcPr>
          <w:p>
            <w:pPr>
              <w:spacing w:after="0"/>
              <w:rPr>
                <w:sz w:val="20"/>
                <w:szCs w:val="20"/>
                <w:color w:val="auto"/>
              </w:rPr>
            </w:pPr>
          </w:p>
        </w:tc>
        <w:tc>
          <w:tcPr>
            <w:tcW w:w="104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3,414</w:t>
            </w:r>
          </w:p>
        </w:tc>
        <w:tc>
          <w:tcPr>
            <w:tcW w:w="24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320" w:type="dxa"/>
            <w:vAlign w:val="bottom"/>
            <w:shd w:val="clear" w:color="auto" w:fill="EAEAEA"/>
          </w:tcPr>
          <w:p>
            <w:pPr>
              <w:spacing w:after="0"/>
              <w:rPr>
                <w:sz w:val="20"/>
                <w:szCs w:val="20"/>
                <w:color w:val="auto"/>
              </w:rPr>
            </w:pPr>
          </w:p>
        </w:tc>
        <w:tc>
          <w:tcPr>
            <w:tcW w:w="1280" w:type="dxa"/>
            <w:vAlign w:val="bottom"/>
            <w:gridSpan w:val="2"/>
            <w:shd w:val="clear" w:color="auto" w:fill="EAEAEA"/>
          </w:tcPr>
          <w:p>
            <w:pPr>
              <w:jc w:val="right"/>
              <w:ind w:right="180"/>
              <w:spacing w:after="0"/>
              <w:rPr>
                <w:sz w:val="20"/>
                <w:szCs w:val="20"/>
                <w:color w:val="auto"/>
              </w:rPr>
            </w:pPr>
            <w:r>
              <w:rPr>
                <w:rFonts w:ascii="Times New Roman" w:cs="Times New Roman" w:eastAsia="Times New Roman" w:hAnsi="Times New Roman"/>
                <w:sz w:val="20"/>
                <w:szCs w:val="20"/>
                <w:color w:val="auto"/>
              </w:rPr>
              <w:t>(27,734)</w:t>
            </w:r>
          </w:p>
        </w:tc>
        <w:tc>
          <w:tcPr>
            <w:tcW w:w="300" w:type="dxa"/>
            <w:vAlign w:val="bottom"/>
            <w:shd w:val="clear" w:color="auto" w:fill="EAEAEA"/>
          </w:tcPr>
          <w:p>
            <w:pPr>
              <w:spacing w:after="0"/>
              <w:rPr>
                <w:sz w:val="20"/>
                <w:szCs w:val="20"/>
                <w:color w:val="auto"/>
              </w:rPr>
            </w:pPr>
          </w:p>
        </w:tc>
        <w:tc>
          <w:tcPr>
            <w:tcW w:w="112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(26,801)</w:t>
            </w:r>
          </w:p>
        </w:tc>
        <w:tc>
          <w:tcPr>
            <w:tcW w:w="0" w:type="dxa"/>
            <w:vAlign w:val="bottom"/>
          </w:tcPr>
          <w:p>
            <w:pPr>
              <w:spacing w:after="0"/>
              <w:rPr>
                <w:sz w:val="1"/>
                <w:szCs w:val="1"/>
                <w:color w:val="auto"/>
              </w:rPr>
            </w:pPr>
          </w:p>
        </w:tc>
      </w:tr>
      <w:tr>
        <w:trPr>
          <w:trHeight w:val="266"/>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financing activities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3,462</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Provided by Operating Activities</w:t>
      </w:r>
    </w:p>
    <w:p>
      <w:pPr>
        <w:spacing w:after="0" w:line="120" w:lineRule="exact"/>
        <w:rPr>
          <w:sz w:val="20"/>
          <w:szCs w:val="20"/>
          <w:color w:val="auto"/>
        </w:rPr>
      </w:pPr>
    </w:p>
    <w:p>
      <w:pPr>
        <w:ind w:right="220" w:firstLine="490"/>
        <w:spacing w:after="0" w:line="247" w:lineRule="auto"/>
        <w:rPr>
          <w:sz w:val="20"/>
          <w:szCs w:val="20"/>
          <w:color w:val="auto"/>
        </w:rPr>
      </w:pPr>
      <w:r>
        <w:rPr>
          <w:rFonts w:ascii="Times New Roman" w:cs="Times New Roman" w:eastAsia="Times New Roman" w:hAnsi="Times New Roman"/>
          <w:sz w:val="20"/>
          <w:szCs w:val="20"/>
          <w:color w:val="auto"/>
        </w:rPr>
        <w:t>Net cash provided by operating activities during the year ended December 31, 2025 was $3.4 million, the result of net loss of $19.4 million, adjusted by non-cash charges of depreciation and amortization of $9.1 million, amortization of operating lease assets of $6.4 million, impairment expense of $5.5 million and stock-based compensation of $3.0 million, partially offset by the increase of $8.7 million from gift cards and a decrease in accounts receivable of $6.9 million. The net cash inflows from changes in operating assets and liabilities were $196 thousand.</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540"/>
          </w:cols>
          <w:pgMar w:left="1260" w:top="1240" w:right="1440" w:bottom="355" w:gutter="0" w:footer="0" w:header="0"/>
          <w:type w:val="continuous"/>
        </w:sectPr>
      </w:pPr>
    </w:p>
    <w:bookmarkStart w:id="56" w:name="page57"/>
    <w:bookmarkEnd w:id="56"/>
    <w:p>
      <w:pPr>
        <w:ind w:right="280" w:firstLine="490"/>
        <w:spacing w:after="0" w:line="249" w:lineRule="auto"/>
        <w:rPr>
          <w:sz w:val="20"/>
          <w:szCs w:val="20"/>
          <w:color w:val="auto"/>
        </w:rPr>
      </w:pPr>
      <w:r>
        <w:rPr>
          <w:rFonts w:ascii="Times New Roman" w:cs="Times New Roman" w:eastAsia="Times New Roman" w:hAnsi="Times New Roman"/>
          <w:sz w:val="20"/>
          <w:szCs w:val="20"/>
          <w:color w:val="auto"/>
        </w:rPr>
        <w:t>Net cash provided by operating activities during the year ended December 31, 2024 was $17.8 million, the result of net income of $4.5 million, adjusted by non- cash charges of depreciation and amortization of $6.9 million, amortization of operating lease assets of $6.8 million and stock-based compensation of $3.0 million, partially offset by the gain of $3.4 million. The net cash outflows from changes in operating assets and liabilities were primarily flat.</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Used in Investing Activities</w:t>
      </w:r>
    </w:p>
    <w:p>
      <w:pPr>
        <w:spacing w:after="0" w:line="120" w:lineRule="exact"/>
        <w:rPr>
          <w:sz w:val="20"/>
          <w:szCs w:val="20"/>
          <w:color w:val="auto"/>
        </w:rPr>
      </w:pPr>
    </w:p>
    <w:p>
      <w:pPr>
        <w:ind w:right="660" w:firstLine="490"/>
        <w:spacing w:after="0" w:line="277" w:lineRule="auto"/>
        <w:rPr>
          <w:sz w:val="20"/>
          <w:szCs w:val="20"/>
          <w:color w:val="auto"/>
        </w:rPr>
      </w:pPr>
      <w:r>
        <w:rPr>
          <w:rFonts w:ascii="Times New Roman" w:cs="Times New Roman" w:eastAsia="Times New Roman" w:hAnsi="Times New Roman"/>
          <w:sz w:val="20"/>
          <w:szCs w:val="20"/>
          <w:color w:val="auto"/>
        </w:rPr>
        <w:t>Net cash used in investing activities during the year ended December 31, 2025 was $27.7 million, for the purchase of property and equipment.</w:t>
      </w:r>
    </w:p>
    <w:p>
      <w:pPr>
        <w:spacing w:after="0" w:line="169" w:lineRule="exact"/>
        <w:rPr>
          <w:sz w:val="20"/>
          <w:szCs w:val="20"/>
          <w:color w:val="auto"/>
        </w:rPr>
      </w:pPr>
    </w:p>
    <w:p>
      <w:pPr>
        <w:ind w:right="420" w:firstLine="490"/>
        <w:spacing w:after="0" w:line="305" w:lineRule="auto"/>
        <w:rPr>
          <w:sz w:val="20"/>
          <w:szCs w:val="20"/>
          <w:color w:val="auto"/>
        </w:rPr>
      </w:pPr>
      <w:r>
        <w:rPr>
          <w:rFonts w:ascii="Times New Roman" w:cs="Times New Roman" w:eastAsia="Times New Roman" w:hAnsi="Times New Roman"/>
          <w:sz w:val="19"/>
          <w:szCs w:val="19"/>
          <w:color w:val="auto"/>
        </w:rPr>
        <w:t>Net cash used in investing activities during the year ended December 31, 2024 was $26.8 million, reflecting $23.8 million for the purchase of property and equipment and $3.0 million for the acquisition of GKBH.</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Provided by Financing Activities</w:t>
      </w:r>
    </w:p>
    <w:p>
      <w:pPr>
        <w:spacing w:after="0" w:line="120" w:lineRule="exact"/>
        <w:rPr>
          <w:sz w:val="20"/>
          <w:szCs w:val="20"/>
          <w:color w:val="auto"/>
        </w:rPr>
      </w:pPr>
    </w:p>
    <w:p>
      <w:pPr>
        <w:ind w:right="280" w:firstLine="490"/>
        <w:spacing w:after="0" w:line="252" w:lineRule="auto"/>
        <w:rPr>
          <w:sz w:val="20"/>
          <w:szCs w:val="20"/>
          <w:color w:val="auto"/>
        </w:rPr>
      </w:pPr>
      <w:r>
        <w:rPr>
          <w:rFonts w:ascii="Times New Roman" w:cs="Times New Roman" w:eastAsia="Times New Roman" w:hAnsi="Times New Roman"/>
          <w:sz w:val="20"/>
          <w:szCs w:val="20"/>
          <w:color w:val="auto"/>
        </w:rPr>
        <w:t>Net cash provided by financing activities during the year ended December 31, 2025 was $3.5 million, primarily due to $ 10.0 million in proceeds from third party debt and proceeds of $9.0 million from line of credit, partially offset by payments of $11.0 million on the line of credit, payments of $3.1 million on third party loans and dividends and distributions of approximately $1.0 million.</w:t>
      </w:r>
    </w:p>
    <w:p>
      <w:pPr>
        <w:spacing w:after="0" w:line="194" w:lineRule="exact"/>
        <w:rPr>
          <w:sz w:val="20"/>
          <w:szCs w:val="20"/>
          <w:color w:val="auto"/>
        </w:rPr>
      </w:pPr>
    </w:p>
    <w:p>
      <w:pPr>
        <w:ind w:right="620" w:firstLine="490"/>
        <w:spacing w:after="0" w:line="252" w:lineRule="auto"/>
        <w:rPr>
          <w:sz w:val="20"/>
          <w:szCs w:val="20"/>
          <w:color w:val="auto"/>
        </w:rPr>
      </w:pPr>
      <w:r>
        <w:rPr>
          <w:rFonts w:ascii="Times New Roman" w:cs="Times New Roman" w:eastAsia="Times New Roman" w:hAnsi="Times New Roman"/>
          <w:sz w:val="20"/>
          <w:szCs w:val="20"/>
          <w:color w:val="auto"/>
        </w:rPr>
        <w:t>Net cash provided by financing activities during the year ended December 31, 2024 was $18 thousand, primarily due to $ 3.0 million in proceeds from third party debt and proceeds of $ 3.0 million from line of credit, partially offset by payments of $3.8 million on third party loans, $0.9 million for member distributions, and payments to members for advances of $0.9 million.</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Effect of Exchange Rate Changes on Cash</w:t>
      </w:r>
    </w:p>
    <w:p>
      <w:pPr>
        <w:spacing w:after="0" w:line="120" w:lineRule="exact"/>
        <w:rPr>
          <w:sz w:val="20"/>
          <w:szCs w:val="20"/>
          <w:color w:val="auto"/>
        </w:rPr>
      </w:pPr>
    </w:p>
    <w:p>
      <w:pPr>
        <w:ind w:right="420" w:firstLine="490"/>
        <w:spacing w:after="0" w:line="252" w:lineRule="auto"/>
        <w:rPr>
          <w:sz w:val="20"/>
          <w:szCs w:val="20"/>
          <w:color w:val="auto"/>
        </w:rPr>
      </w:pPr>
      <w:r>
        <w:rPr>
          <w:rFonts w:ascii="Times New Roman" w:cs="Times New Roman" w:eastAsia="Times New Roman" w:hAnsi="Times New Roman"/>
          <w:sz w:val="20"/>
          <w:szCs w:val="20"/>
          <w:color w:val="auto"/>
        </w:rPr>
        <w:t>For the year ending December 31, 2025, the effect of exchange rates on cash and cash equivalents primarily reflects the translation impact from fluctuation in the value of the South Korean won relative to the U.S. dollar. During the period, the won experienced modest depreciation against the U.S. dollar, resulting in a loss on foreign currency translation of $7 thousand compared to $0 in the comparative period.</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Material Cash Requirements</w:t>
      </w:r>
    </w:p>
    <w:p>
      <w:pPr>
        <w:spacing w:after="0" w:line="200" w:lineRule="exact"/>
        <w:rPr>
          <w:sz w:val="20"/>
          <w:szCs w:val="20"/>
          <w:color w:val="auto"/>
        </w:rPr>
      </w:pPr>
    </w:p>
    <w:p>
      <w:pPr>
        <w:spacing w:after="0" w:line="270" w:lineRule="exact"/>
        <w:rPr>
          <w:sz w:val="20"/>
          <w:szCs w:val="20"/>
          <w:color w:val="auto"/>
        </w:rPr>
      </w:pPr>
    </w:p>
    <w:p>
      <w:pPr>
        <w:ind w:right="380" w:firstLine="490"/>
        <w:spacing w:after="0" w:line="252" w:lineRule="auto"/>
        <w:rPr>
          <w:sz w:val="20"/>
          <w:szCs w:val="20"/>
          <w:color w:val="auto"/>
        </w:rPr>
      </w:pPr>
      <w:r>
        <w:rPr>
          <w:rFonts w:ascii="Times New Roman" w:cs="Times New Roman" w:eastAsia="Times New Roman" w:hAnsi="Times New Roman"/>
          <w:sz w:val="20"/>
          <w:szCs w:val="20"/>
          <w:color w:val="auto"/>
        </w:rPr>
        <w:t>As of December 31, 2025, we had $12.3 million in contractual obligation relating to debt, including EIDL loans payable. All contractual obligation are expected to be paid during the next 12 months utilizing cash and cash equivalents on hand and provided by operating activities. For operating lease obligations, See “Note 11 - Leases” to the financial statements in this annual report for further details.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Off-Balance Sheet Arrangements</w:t>
      </w:r>
    </w:p>
    <w:p>
      <w:pPr>
        <w:spacing w:after="0" w:line="120" w:lineRule="exact"/>
        <w:rPr>
          <w:sz w:val="20"/>
          <w:szCs w:val="20"/>
          <w:color w:val="auto"/>
        </w:rPr>
      </w:pPr>
    </w:p>
    <w:p>
      <w:pPr>
        <w:ind w:right="1240" w:firstLine="490"/>
        <w:spacing w:after="0" w:line="277" w:lineRule="auto"/>
        <w:rPr>
          <w:sz w:val="20"/>
          <w:szCs w:val="20"/>
          <w:color w:val="auto"/>
        </w:rPr>
      </w:pPr>
      <w:r>
        <w:rPr>
          <w:rFonts w:ascii="Times New Roman" w:cs="Times New Roman" w:eastAsia="Times New Roman" w:hAnsi="Times New Roman"/>
          <w:sz w:val="20"/>
          <w:szCs w:val="20"/>
          <w:color w:val="auto"/>
        </w:rPr>
        <w:t>As of December 31, 2025 and December 31, 2024 we did not have any material off-balance sheet arrangements.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24"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auto"/>
        </w:rPr>
        <w:t>Our discussion and analysis of operating results and financial condition are based upon our financial statements. The preparation of our financial statements in accordance with GAAP requires us to make estimates and assumptions that affect the reported amounts of assets, liabilities, sales, expenses and related disclosures of contingent assets and liabilities. We base our estimates on past experience and other assumptions that we believe are reasonable under the circumstances, and we evaluate these estimates on an ongoing basis.</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540"/>
          </w:cols>
          <w:pgMar w:left="1260" w:top="1240" w:right="1440" w:bottom="355" w:gutter="0" w:footer="0" w:header="0"/>
          <w:type w:val="continuous"/>
        </w:sectPr>
      </w:pPr>
    </w:p>
    <w:bookmarkStart w:id="57" w:name="page58"/>
    <w:bookmarkEnd w:id="57"/>
    <w:p>
      <w:pPr>
        <w:ind w:right="340" w:firstLine="490"/>
        <w:spacing w:after="0" w:line="249" w:lineRule="auto"/>
        <w:rPr>
          <w:sz w:val="20"/>
          <w:szCs w:val="20"/>
          <w:color w:val="auto"/>
        </w:rPr>
      </w:pPr>
      <w:r>
        <w:rPr>
          <w:rFonts w:ascii="Times New Roman" w:cs="Times New Roman" w:eastAsia="Times New Roman" w:hAnsi="Times New Roman"/>
          <w:sz w:val="20"/>
          <w:szCs w:val="20"/>
          <w:color w:val="auto"/>
        </w:rPr>
        <w:t>Our critical accounting estimates are those that materially affect our financial statements and involve subjective or complex judgments by management. Although these estimates are based on management’s best knowledge of current events and actions that may impact us in the future, actual results may be materially different from the estimates. We believe the following are affected by significant judgments and estimates used in the preparation of our financial statements and that the judgments and estimates are reasonable.</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and Finance Leases</w:t>
      </w:r>
    </w:p>
    <w:p>
      <w:pPr>
        <w:spacing w:after="0" w:line="120" w:lineRule="exact"/>
        <w:rPr>
          <w:sz w:val="20"/>
          <w:szCs w:val="20"/>
          <w:color w:val="auto"/>
        </w:rPr>
      </w:pPr>
    </w:p>
    <w:p>
      <w:pPr>
        <w:ind w:right="260" w:firstLine="490"/>
        <w:spacing w:after="0" w:line="244" w:lineRule="auto"/>
        <w:rPr>
          <w:sz w:val="20"/>
          <w:szCs w:val="20"/>
          <w:color w:val="auto"/>
        </w:rPr>
      </w:pPr>
      <w:r>
        <w:rPr>
          <w:rFonts w:ascii="Times New Roman" w:cs="Times New Roman" w:eastAsia="Times New Roman" w:hAnsi="Times New Roman"/>
          <w:sz w:val="20"/>
          <w:szCs w:val="20"/>
          <w:color w:val="auto"/>
        </w:rPr>
        <w:t>Our office leases provide for fixed minimum rent payments. Our restaurant leases provide for fixed minimum rent payments and some require additional contingent rent payments based upon sales in excess of specified thresholds. When achievement of such sales thresholds is deemed probable, contingent rent is accrued in proportion to the sales recognized in the period. For operating leases that include free-rent periods and rent escalation clauses, we recognize rent expense based on the straight-line method. For the purpose of calculating rent expenses under the straight-line method, the lease term commences on the date we obtain control of the property. Lease incentives used to fund leasehold improvements are recognized when earned and reduce the operating right-of-use asset related to the lease. These are amortized through the operating right-of-use asset as reductions of expense over the lease term. Restaurant lease expense is included in occupancy expenses, while office lease expense is included in general and administrative expenses on the accompanying financial statements.</w:t>
      </w:r>
    </w:p>
    <w:p>
      <w:pPr>
        <w:spacing w:after="0" w:line="202"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auto"/>
        </w:rPr>
        <w:t>We currently lease all of our restaurant locations, corporate office, and some of the equipment used in our restaurants. On January 1, 2022, we adopted ASU 2016-02, Leases (ASC Topic 842), using a modified retrospective approach. See "Note 11—Leases" to the financial statements. At commencement of the lease, we determine the appropriate classification as an operating lease or a finance lease. All of our restaurant and office leases are classified as operating leases and some of our equipment leases are classified as finance leases.</w:t>
      </w:r>
    </w:p>
    <w:p>
      <w:pPr>
        <w:spacing w:after="0" w:line="197"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auto"/>
        </w:rPr>
        <w:t>Assets we acquired under finance lease arrangements were recorded at the lower of the present value of future minimum lease payments or fair value of the assets at the inception of the lease. Finance lease assets were amortized over the shorter of the useful life of the assets or the lease term, and the amortization expense is included in depreciation and amortization on the accompanying financial statements.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120" w:lineRule="exact"/>
        <w:rPr>
          <w:sz w:val="20"/>
          <w:szCs w:val="20"/>
          <w:color w:val="auto"/>
        </w:rPr>
      </w:pPr>
    </w:p>
    <w:p>
      <w:pPr>
        <w:ind w:right="220" w:firstLine="490"/>
        <w:spacing w:after="0" w:line="247" w:lineRule="auto"/>
        <w:rPr>
          <w:sz w:val="20"/>
          <w:szCs w:val="20"/>
          <w:color w:val="auto"/>
        </w:rPr>
      </w:pPr>
      <w:r>
        <w:rPr>
          <w:rFonts w:ascii="Times New Roman" w:cs="Times New Roman" w:eastAsia="Times New Roman" w:hAnsi="Times New Roman"/>
          <w:sz w:val="20"/>
          <w:szCs w:val="20"/>
          <w:color w:val="auto"/>
        </w:rPr>
        <w:t>We review long-lived assets, which includes property and equipment and operating lease right-of-use assets, for impairment when events or circumstances indicate the carrying value value of the assets may not be recoverable, in accordance with the provisions of Financial Accounting Standards Board, (“FASB”), Accounting Standards Codification (“ASC”) 360, “Property, Plant and Equipment.” In determining the recoverability of the asset value, an analysis is performed at the individual restaurant level and primarily includes an assessment of historical cash flows and other relevant factors and circumstances.</w:t>
      </w:r>
    </w:p>
    <w:p>
      <w:pPr>
        <w:spacing w:after="0" w:line="80" w:lineRule="exact"/>
        <w:rPr>
          <w:sz w:val="20"/>
          <w:szCs w:val="20"/>
          <w:color w:val="auto"/>
        </w:rPr>
      </w:pPr>
    </w:p>
    <w:p>
      <w:pPr>
        <w:ind w:right="200" w:firstLine="490"/>
        <w:spacing w:after="0" w:line="257" w:lineRule="auto"/>
        <w:rPr>
          <w:sz w:val="20"/>
          <w:szCs w:val="20"/>
          <w:color w:val="auto"/>
        </w:rPr>
      </w:pPr>
      <w:r>
        <w:rPr>
          <w:rFonts w:ascii="Times New Roman" w:cs="Times New Roman" w:eastAsia="Times New Roman" w:hAnsi="Times New Roman"/>
          <w:sz w:val="19"/>
          <w:szCs w:val="19"/>
          <w:color w:val="auto"/>
        </w:rPr>
        <w:t>An impairment test is performed on a quarterly basis or whenever events or changes in circumstances indicate that the carrying value of the assets may not be recoverable. In determining the recoverability of the asset value, an analysis is performed at the individual restaurant level. Assets are grouped at the individual restaurant-level for purposes of the impairment assessment because a restaurant represents the lowest level for which identifiable cash flows are largely independent of the cash flows of other assets and liabilities. Recoverability of an asset group is measured by a comparison of the carrying amount of an asset group to its estimated forecasted restaurant cash flows expected to be generated by the asset group. Factors considered by us in estimating future cash flows include, but are not limited to: significant underperformance relative to expected historical or projected future operating results; significant changes in the manner of use of the acquired assets; and significant negative industry or economic trends. If the carrying amount of the asset group exceeds its estimated undiscounted future cash flows, an impairment charge is recognized as the amount by which the carrying amount of the asset exceeds the fair value of the asset.</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During the fourth quarter of 2025, an impairment loss reserve was recognized in the amount of $5.5 million.</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540"/>
          </w:cols>
          <w:pgMar w:left="1260" w:top="1240" w:right="1440" w:bottom="355"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20"/>
          <w:szCs w:val="20"/>
          <w:b w:val="1"/>
          <w:bCs w:val="1"/>
          <w:color w:val="auto"/>
        </w:rPr>
        <w:t>Emerging Growth Company Status</w:t>
      </w:r>
    </w:p>
    <w:p>
      <w:pPr>
        <w:spacing w:after="0" w:line="123" w:lineRule="exact"/>
        <w:rPr>
          <w:sz w:val="20"/>
          <w:szCs w:val="20"/>
          <w:color w:val="auto"/>
        </w:rPr>
      </w:pPr>
    </w:p>
    <w:p>
      <w:pPr>
        <w:ind w:right="180" w:firstLine="490"/>
        <w:spacing w:after="0" w:line="243" w:lineRule="auto"/>
        <w:rPr>
          <w:sz w:val="20"/>
          <w:szCs w:val="20"/>
          <w:color w:val="auto"/>
        </w:rPr>
      </w:pPr>
      <w:r>
        <w:rPr>
          <w:rFonts w:ascii="Times New Roman" w:cs="Times New Roman" w:eastAsia="Times New Roman" w:hAnsi="Times New Roman"/>
          <w:sz w:val="20"/>
          <w:szCs w:val="20"/>
          <w:color w:val="auto"/>
        </w:rPr>
        <w:t>We are an “emerging growth company,” as defined in the JOBS Act, and we have taken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our IPO or such earlier time that we are no longer an emerging growth company. We would cease to be an emerging growth company if we have more than $1.235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Adopted Accounting Pronouncements</w:t>
      </w:r>
    </w:p>
    <w:p>
      <w:pPr>
        <w:spacing w:after="0" w:line="123" w:lineRule="exact"/>
        <w:rPr>
          <w:sz w:val="20"/>
          <w:szCs w:val="20"/>
          <w:color w:val="auto"/>
        </w:rPr>
      </w:pPr>
    </w:p>
    <w:p>
      <w:pPr>
        <w:ind w:right="920" w:firstLine="490"/>
        <w:spacing w:after="0" w:line="277" w:lineRule="auto"/>
        <w:rPr>
          <w:sz w:val="20"/>
          <w:szCs w:val="20"/>
          <w:color w:val="auto"/>
        </w:rPr>
      </w:pPr>
      <w:r>
        <w:rPr>
          <w:rFonts w:ascii="Times New Roman" w:cs="Times New Roman" w:eastAsia="Times New Roman" w:hAnsi="Times New Roman"/>
          <w:sz w:val="20"/>
          <w:szCs w:val="20"/>
          <w:color w:val="auto"/>
        </w:rPr>
        <w:t>See “Note 2 - Basis of Presentation and Summary of Significant Accounting Policies” to the financial statements, for a discussion of recently adopted accounting standard.</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Commodity and Food Price Risks</w:t>
      </w:r>
    </w:p>
    <w:p>
      <w:pPr>
        <w:spacing w:after="0" w:line="235" w:lineRule="exact"/>
        <w:rPr>
          <w:sz w:val="20"/>
          <w:szCs w:val="20"/>
          <w:color w:val="auto"/>
        </w:rPr>
      </w:pPr>
    </w:p>
    <w:p>
      <w:pPr>
        <w:ind w:right="200" w:firstLine="490"/>
        <w:spacing w:after="0" w:line="241" w:lineRule="auto"/>
        <w:rPr>
          <w:sz w:val="20"/>
          <w:szCs w:val="20"/>
          <w:color w:val="auto"/>
        </w:rPr>
      </w:pPr>
      <w:r>
        <w:rPr>
          <w:rFonts w:ascii="Times New Roman" w:cs="Times New Roman" w:eastAsia="Times New Roman" w:hAnsi="Times New Roman"/>
          <w:sz w:val="20"/>
          <w:szCs w:val="20"/>
          <w:color w:val="auto"/>
        </w:rPr>
        <w:t>Our profitability is dependent on, among other things, our ability to anticipate and react to changes in the costs of key operating resources, including food and beverage and other commodities. We have been able to partially offset cost increases that resulted from a number of factors, including market conditions, shortages or interruptions in supply due to weather or other conditions beyond our control and governmental regulations and inflation. We accomplished this by increasing our menu prices and making other operational adjustments that increase productivity. However, substantial increases in costs and expenses could impact our operating results to the extent that such increases cannot be offset by menu price increases or operational adjustments.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Inflation Risk</w:t>
      </w:r>
    </w:p>
    <w:p>
      <w:pPr>
        <w:spacing w:after="0" w:line="115" w:lineRule="exact"/>
        <w:rPr>
          <w:sz w:val="20"/>
          <w:szCs w:val="20"/>
          <w:color w:val="auto"/>
        </w:rPr>
      </w:pPr>
    </w:p>
    <w:p>
      <w:pPr>
        <w:ind w:right="240" w:firstLine="490"/>
        <w:spacing w:after="0" w:line="239" w:lineRule="auto"/>
        <w:rPr>
          <w:sz w:val="20"/>
          <w:szCs w:val="20"/>
          <w:color w:val="auto"/>
        </w:rPr>
      </w:pPr>
      <w:r>
        <w:rPr>
          <w:rFonts w:ascii="Times New Roman" w:cs="Times New Roman" w:eastAsia="Times New Roman" w:hAnsi="Times New Roman"/>
          <w:sz w:val="20"/>
          <w:szCs w:val="20"/>
          <w:color w:val="auto"/>
        </w:rPr>
        <w:t>The primary areas where inflation impacts our operations are in food, beverage, labor and energy costs. Our restaurant operations are subject to federal and state minimum wage laws and other laws governing such matters as working conditions, overtime and tip credits. Significant numbers of our restaurant personnel are paid at rates dependent on the federal and/or state minimum wage and, accordingly, increases in the minimum wage increase our labor costs. To the extent permitted by competition and the economy, we have mitigated increased costs by increasing menu prices and may continue to do so if deemed necessary in future years. Substantial increases in costs and expenses could impact our operating results to the extent such increases cannot be passed through to our guests. Historically, until 2025, inflation has not had a material effect on our results of operations. Severe increases in inflation, however, could affect the global and U.S. economies and could have an adverse impact on our business, financial condition or results of operations.</w:t>
      </w:r>
    </w:p>
    <w:p>
      <w:pPr>
        <w:spacing w:after="0" w:line="204" w:lineRule="exact"/>
        <w:rPr>
          <w:sz w:val="20"/>
          <w:szCs w:val="20"/>
          <w:color w:val="auto"/>
        </w:rPr>
      </w:pPr>
    </w:p>
    <w:p>
      <w:pPr>
        <w:ind w:right="200" w:firstLine="490"/>
        <w:spacing w:after="0" w:line="239" w:lineRule="auto"/>
        <w:rPr>
          <w:sz w:val="20"/>
          <w:szCs w:val="20"/>
          <w:color w:val="auto"/>
        </w:rPr>
      </w:pPr>
      <w:r>
        <w:rPr>
          <w:rFonts w:ascii="Times New Roman" w:cs="Times New Roman" w:eastAsia="Times New Roman" w:hAnsi="Times New Roman"/>
          <w:sz w:val="20"/>
          <w:szCs w:val="20"/>
          <w:color w:val="auto"/>
        </w:rPr>
        <w:t>While we have been able to partially offset inflation and other changes in the costs of core operating resources by gradually increasing menu prices, coupled with the implementation of more efficient purchasing practices, productivity improvements and greater economies of scale, there can be no assurance that we will be able to continue to do so in the future. From time to time, competitive conditions could limit our menu pricing flexibility. In addition, macroeconomic conditions could render additional menu price increases imprudent. There can be no assurance that future cost increases can be offset by increased menu prices or that increased menu prices will be fully absorbed by our guests without any resulting change to their visit frequencies or purchasing patterns. In addition, there can be no assurance that we will generate sales growth in an amount sufficient to offset inflationary or other cost pressures.</w:t>
      </w:r>
    </w:p>
    <w:p>
      <w:pPr>
        <w:sectPr>
          <w:pgSz w:w="12240" w:h="15840" w:orient="portrait"/>
          <w:cols w:equalWidth="0" w:num="1">
            <w:col w:w="9540"/>
          </w:cols>
          <w:pgMar w:left="1260" w:top="1230"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540"/>
          </w:cols>
          <w:pgMar w:left="1260" w:top="1230" w:right="1440" w:bottom="355"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p>
    <w:p>
      <w:pPr>
        <w:spacing w:after="0" w:line="235" w:lineRule="exact"/>
        <w:rPr>
          <w:sz w:val="20"/>
          <w:szCs w:val="20"/>
          <w:color w:val="auto"/>
        </w:rPr>
      </w:pPr>
    </w:p>
    <w:p>
      <w:pPr>
        <w:ind w:right="220" w:firstLine="490"/>
        <w:spacing w:after="0" w:line="273" w:lineRule="auto"/>
        <w:rPr>
          <w:sz w:val="20"/>
          <w:szCs w:val="20"/>
          <w:color w:val="auto"/>
        </w:rPr>
      </w:pPr>
      <w:r>
        <w:rPr>
          <w:rFonts w:ascii="Times New Roman" w:cs="Times New Roman" w:eastAsia="Times New Roman" w:hAnsi="Times New Roman"/>
          <w:sz w:val="20"/>
          <w:szCs w:val="20"/>
          <w:color w:val="auto"/>
        </w:rPr>
        <w:t>We are exposed to market interest rates by accessing our line of credit, which bears an interest rate at the Wall Street Journal Prime Rate plus 0.25%.</w:t>
      </w:r>
    </w:p>
    <w:p>
      <w:pPr>
        <w:spacing w:after="0" w:line="287" w:lineRule="exact"/>
        <w:rPr>
          <w:sz w:val="20"/>
          <w:szCs w:val="20"/>
          <w:color w:val="auto"/>
        </w:rPr>
      </w:pPr>
    </w:p>
    <w:p>
      <w:pPr>
        <w:jc w:val="center"/>
        <w:ind w:right="4860"/>
        <w:spacing w:after="0"/>
        <w:rPr>
          <w:sz w:val="20"/>
          <w:szCs w:val="20"/>
          <w:color w:val="auto"/>
        </w:rPr>
      </w:pPr>
      <w:r>
        <w:rPr>
          <w:rFonts w:ascii="Times New Roman" w:cs="Times New Roman" w:eastAsia="Times New Roman" w:hAnsi="Times New Roman"/>
          <w:sz w:val="19"/>
          <w:szCs w:val="19"/>
          <w:b w:val="1"/>
          <w:bCs w:val="1"/>
          <w:color w:val="auto"/>
        </w:rPr>
        <w:t>Item 8. Financial Statements and Supplementary Data.</w:t>
      </w:r>
    </w:p>
    <w:p>
      <w:pPr>
        <w:spacing w:after="0" w:line="136" w:lineRule="exact"/>
        <w:rPr>
          <w:sz w:val="20"/>
          <w:szCs w:val="20"/>
          <w:color w:val="auto"/>
        </w:rPr>
      </w:pPr>
    </w:p>
    <w:p>
      <w:pPr>
        <w:jc w:val="center"/>
        <w:ind w:right="4880"/>
        <w:spacing w:after="0"/>
        <w:rPr>
          <w:sz w:val="20"/>
          <w:szCs w:val="20"/>
          <w:color w:val="auto"/>
        </w:rPr>
      </w:pPr>
      <w:r>
        <w:rPr>
          <w:rFonts w:ascii="Times New Roman" w:cs="Times New Roman" w:eastAsia="Times New Roman" w:hAnsi="Times New Roman"/>
          <w:sz w:val="20"/>
          <w:szCs w:val="20"/>
          <w:color w:val="auto"/>
        </w:rPr>
        <w:t>See index to financial statements on page F-1.</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Evaluation of Disclosure Controls and Procedures</w:t>
      </w:r>
    </w:p>
    <w:p>
      <w:pPr>
        <w:spacing w:after="0" w:line="124" w:lineRule="exact"/>
        <w:rPr>
          <w:sz w:val="20"/>
          <w:szCs w:val="20"/>
          <w:color w:val="auto"/>
        </w:rPr>
      </w:pPr>
    </w:p>
    <w:p>
      <w:pPr>
        <w:ind w:right="280" w:firstLine="490"/>
        <w:spacing w:after="0" w:line="247" w:lineRule="auto"/>
        <w:rPr>
          <w:sz w:val="20"/>
          <w:szCs w:val="20"/>
          <w:color w:val="auto"/>
        </w:rPr>
      </w:pPr>
      <w:r>
        <w:rPr>
          <w:rFonts w:ascii="Times New Roman" w:cs="Times New Roman" w:eastAsia="Times New Roman" w:hAnsi="Times New Roman"/>
          <w:sz w:val="20"/>
          <w:szCs w:val="20"/>
          <w:color w:val="auto"/>
        </w:rPr>
        <w:t>Our management carried out an evaluation, under the supervision and with the participation of our Chief Executive Officer and Chief Financial Officer, of the effectiveness of the design and operation of our disclosure controls and procedures (as defined by Rule 13a-15(e) of the Exchange Act) as of the end of the period covered by this Annual Report on Form 10-K. Management’s assessment included evaluation of elements such as the design and operating effectiveness of key financial reporting controls, process documentation, accounting policies, and our overall control environment.</w:t>
      </w:r>
    </w:p>
    <w:p>
      <w:pPr>
        <w:spacing w:after="0" w:line="80" w:lineRule="exact"/>
        <w:rPr>
          <w:sz w:val="20"/>
          <w:szCs w:val="20"/>
          <w:color w:val="auto"/>
        </w:rPr>
      </w:pPr>
    </w:p>
    <w:p>
      <w:pPr>
        <w:ind w:right="840" w:firstLine="490"/>
        <w:spacing w:after="0" w:line="277" w:lineRule="auto"/>
        <w:rPr>
          <w:sz w:val="20"/>
          <w:szCs w:val="20"/>
          <w:color w:val="auto"/>
        </w:rPr>
      </w:pPr>
      <w:r>
        <w:rPr>
          <w:rFonts w:ascii="Times New Roman" w:cs="Times New Roman" w:eastAsia="Times New Roman" w:hAnsi="Times New Roman"/>
          <w:sz w:val="20"/>
          <w:szCs w:val="20"/>
          <w:color w:val="auto"/>
        </w:rPr>
        <w:t>Based on this evaluation, our management concluded that our disclosure controls and procedures were effective at the reasonable assurance level as of the end of the period covered by this report.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44" w:lineRule="exact"/>
        <w:rPr>
          <w:sz w:val="20"/>
          <w:szCs w:val="20"/>
          <w:color w:val="auto"/>
        </w:rPr>
      </w:pPr>
    </w:p>
    <w:p>
      <w:pPr>
        <w:ind w:right="220" w:firstLine="490"/>
        <w:spacing w:after="0" w:line="245" w:lineRule="auto"/>
        <w:rPr>
          <w:sz w:val="20"/>
          <w:szCs w:val="20"/>
          <w:color w:val="auto"/>
        </w:rPr>
      </w:pPr>
      <w:r>
        <w:rPr>
          <w:rFonts w:ascii="Times New Roman" w:cs="Times New Roman" w:eastAsia="Times New Roman" w:hAnsi="Times New Roman"/>
          <w:sz w:val="20"/>
          <w:szCs w:val="20"/>
          <w:color w:val="auto"/>
        </w:rPr>
        <w:t>The Company’s management is responsible for establishing and maintaining adequate internal control over financial reporting (as defined in Rule 13a-15(f) under the Exchange Act) to provide reasonable assurance regarding the reliability of our financial reporting and the preparation of consolidated financial statements for external purposes in accordance with GAAP. The Company’s management has evaluated the effectiveness of its internal control over financial reporting based on the criteria set forth in Internal Control—Integrated Framework issued by the Committee of Sponsoring Organizations of the Treadway Commission (2013 framework). Based upon that evaluation, the Company’s Chief Executive Officer and Chief Financial Officer concluded that the Company’s internal control over financial reporting was effective as of December 31, 2025.</w:t>
      </w:r>
    </w:p>
    <w:p>
      <w:pPr>
        <w:spacing w:after="0" w:line="202"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auto"/>
        </w:rPr>
        <w:t>This Annual Report does not include an attestation report of our independent registered public accounting firm due to a transition period established by the rules of the SEC for emerging growth companies.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Changes in Internal Control over Financial Reporting</w:t>
      </w:r>
    </w:p>
    <w:p>
      <w:pPr>
        <w:spacing w:after="0" w:line="124" w:lineRule="exact"/>
        <w:rPr>
          <w:sz w:val="20"/>
          <w:szCs w:val="20"/>
          <w:color w:val="auto"/>
        </w:rPr>
      </w:pPr>
    </w:p>
    <w:p>
      <w:pPr>
        <w:ind w:right="500" w:firstLine="490"/>
        <w:spacing w:after="0" w:line="258" w:lineRule="auto"/>
        <w:rPr>
          <w:sz w:val="20"/>
          <w:szCs w:val="20"/>
          <w:color w:val="auto"/>
        </w:rPr>
      </w:pPr>
      <w:r>
        <w:rPr>
          <w:rFonts w:ascii="Times New Roman" w:cs="Times New Roman" w:eastAsia="Times New Roman" w:hAnsi="Times New Roman"/>
          <w:sz w:val="20"/>
          <w:szCs w:val="20"/>
          <w:color w:val="auto"/>
        </w:rPr>
        <w:t>There were no changes in the Company’s internal control over financial reporting during the quarter ended December 31, 2025, that have materially affected, or are reasonably likely to materially affect, the Company’s internal control over financial reporting.</w:t>
      </w:r>
    </w:p>
    <w:p>
      <w:pPr>
        <w:spacing w:after="0" w:line="304"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20"/>
          <w:szCs w:val="20"/>
          <w:b w:val="1"/>
          <w:bCs w:val="1"/>
          <w:u w:val="single" w:color="auto"/>
          <w:color w:val="auto"/>
        </w:rPr>
        <w:t>Limitations on Effectiveness of Disclosure Controls and Procedures and Internal Control over Financial Reporting</w:t>
      </w:r>
    </w:p>
    <w:p>
      <w:pPr>
        <w:spacing w:after="0" w:line="36"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w:t>
      </w:r>
    </w:p>
    <w:p>
      <w:pPr>
        <w:sectPr>
          <w:pgSz w:w="12240" w:h="15840" w:orient="portrait"/>
          <w:cols w:equalWidth="0" w:num="1">
            <w:col w:w="9540"/>
          </w:cols>
          <w:pgMar w:left="1260" w:top="1236"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540"/>
          </w:cols>
          <w:pgMar w:left="1260" w:top="1236" w:right="1440" w:bottom="355"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24" w:lineRule="exact"/>
        <w:rPr>
          <w:sz w:val="20"/>
          <w:szCs w:val="20"/>
          <w:color w:val="auto"/>
        </w:rPr>
      </w:pPr>
    </w:p>
    <w:p>
      <w:pPr>
        <w:ind w:right="480" w:firstLine="490"/>
        <w:spacing w:after="0" w:line="252" w:lineRule="auto"/>
        <w:rPr>
          <w:sz w:val="20"/>
          <w:szCs w:val="20"/>
          <w:color w:val="auto"/>
        </w:rPr>
      </w:pPr>
      <w:r>
        <w:rPr>
          <w:rFonts w:ascii="Times New Roman" w:cs="Times New Roman" w:eastAsia="Times New Roman" w:hAnsi="Times New Roman"/>
          <w:sz w:val="20"/>
          <w:szCs w:val="20"/>
          <w:color w:val="auto"/>
        </w:rPr>
        <w:t>None of our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 during the fiscal quarter ended December 31, 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540"/>
          </w:cols>
          <w:pgMar w:left="1260" w:top="1236"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540"/>
          </w:cols>
          <w:pgMar w:left="1260" w:top="1236" w:right="1440" w:bottom="355" w:gutter="0" w:footer="0" w:header="0"/>
          <w:type w:val="continuous"/>
        </w:sectPr>
      </w:pPr>
    </w:p>
    <w:bookmarkStart w:id="61" w:name="page62"/>
    <w:bookmarkEnd w:id="61"/>
    <w:p>
      <w:pPr>
        <w:ind w:left="426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24"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color w:val="auto"/>
        </w:rPr>
        <w:t>A list of our executive officers and their biological information appears in Part 1, Item 1 of this Annual Report on Form 10-K under the caption “Information About Our Executive Officers.”</w:t>
      </w:r>
    </w:p>
    <w:p>
      <w:pPr>
        <w:spacing w:after="0" w:line="169" w:lineRule="exact"/>
        <w:rPr>
          <w:sz w:val="20"/>
          <w:szCs w:val="20"/>
          <w:color w:val="auto"/>
        </w:rPr>
      </w:pPr>
    </w:p>
    <w:p>
      <w:pPr>
        <w:ind w:right="240" w:firstLine="490"/>
        <w:spacing w:after="0" w:line="252" w:lineRule="auto"/>
        <w:rPr>
          <w:sz w:val="20"/>
          <w:szCs w:val="20"/>
          <w:color w:val="auto"/>
        </w:rPr>
      </w:pPr>
      <w:r>
        <w:rPr>
          <w:rFonts w:ascii="Times New Roman" w:cs="Times New Roman" w:eastAsia="Times New Roman" w:hAnsi="Times New Roman"/>
          <w:sz w:val="20"/>
          <w:szCs w:val="20"/>
          <w:color w:val="auto"/>
        </w:rPr>
        <w:t>Additional information required by this item is incorporated by reference to the section titled “Proposal 1 - Election of Directors” and “Delinquent Section 16(a) Reports” in our Proxy Statement for the 2026 Annual Meeting of Stockholders, which will be filed no later than 120 days after the end of the fiscal year covered by this Annual Report on Form 10-K.</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Code of Ethics</w:t>
      </w:r>
    </w:p>
    <w:p>
      <w:pPr>
        <w:spacing w:after="0" w:line="120" w:lineRule="exact"/>
        <w:rPr>
          <w:sz w:val="20"/>
          <w:szCs w:val="20"/>
          <w:color w:val="auto"/>
        </w:rPr>
      </w:pPr>
    </w:p>
    <w:p>
      <w:pPr>
        <w:ind w:right="240" w:firstLine="490"/>
        <w:spacing w:after="0" w:line="252" w:lineRule="auto"/>
        <w:rPr>
          <w:sz w:val="20"/>
          <w:szCs w:val="20"/>
          <w:color w:val="auto"/>
        </w:rPr>
      </w:pPr>
      <w:r>
        <w:rPr>
          <w:rFonts w:ascii="Times New Roman" w:cs="Times New Roman" w:eastAsia="Times New Roman" w:hAnsi="Times New Roman"/>
          <w:sz w:val="20"/>
          <w:szCs w:val="20"/>
          <w:color w:val="auto"/>
        </w:rPr>
        <w:t>We have adopted the Code of Business Conduct and Ethics for our Chief Executive Officer and Senior Finance Officers. A copy of the Code can be found on our website at www.genkoreanbbq.com in the “Investor” section. We intend to satisfy the disclosure requirements of the SEC regarding amendments to, or waivers from the Code by posting such information on the same website.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Audit Committee</w:t>
      </w:r>
    </w:p>
    <w:p>
      <w:pPr>
        <w:spacing w:after="0" w:line="120" w:lineRule="exact"/>
        <w:rPr>
          <w:sz w:val="20"/>
          <w:szCs w:val="20"/>
          <w:color w:val="auto"/>
        </w:rPr>
      </w:pPr>
    </w:p>
    <w:p>
      <w:pPr>
        <w:ind w:right="420" w:firstLine="490"/>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section titled “Committees of the Board” in our Proxy Statement for the 2026 Annual Meeting of the Stockholders, which will be filed no later than 120 days after the end of the fiscal year covered by this Annual Report on Form 10-K.</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24" w:lineRule="exact"/>
        <w:rPr>
          <w:sz w:val="20"/>
          <w:szCs w:val="20"/>
          <w:color w:val="auto"/>
        </w:rPr>
      </w:pPr>
    </w:p>
    <w:p>
      <w:pPr>
        <w:ind w:right="720" w:firstLine="490"/>
        <w:spacing w:after="0" w:line="252"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sections titled “Director Compensation” and “Executive Compensation” in our Proxy Statement for our 2026 Annual Meeting of Stockholders, which will be filed no later than 120 days after the end of the fiscal year covered by this Annual Report on Form 10-K.</w:t>
      </w:r>
    </w:p>
    <w:p>
      <w:pPr>
        <w:spacing w:after="0" w:line="194"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sections titled “Compensation Committee Interlocks and Insider Participation” in our Proxy Statement for our 2026 Annual Meeting of Stockholders, which will be filed no later than 120 days after the end of the fiscal is incorporated herein by reference to such proxy statement.</w:t>
      </w:r>
    </w:p>
    <w:p>
      <w:pPr>
        <w:spacing w:after="0" w:line="310"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36" w:lineRule="exact"/>
        <w:rPr>
          <w:sz w:val="20"/>
          <w:szCs w:val="20"/>
          <w:color w:val="auto"/>
        </w:rPr>
      </w:pPr>
    </w:p>
    <w:p>
      <w:pPr>
        <w:ind w:right="380" w:firstLine="490"/>
        <w:spacing w:after="0" w:line="252"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sections titled “Principal Stockholders” and “Equity Compensation Plan Information” in our Proxy Statement for our 2026 Annual Meeting of Stockholders, which will be filed no later than 120 days after the end of the fiscal year covered by this Annual Report on Form 10-K.</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24" w:lineRule="exact"/>
        <w:rPr>
          <w:sz w:val="20"/>
          <w:szCs w:val="20"/>
          <w:color w:val="auto"/>
        </w:rPr>
      </w:pPr>
    </w:p>
    <w:p>
      <w:pPr>
        <w:ind w:right="220" w:firstLine="490"/>
        <w:spacing w:after="0" w:line="252"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sections titled “Certain Relationships and Related Person Transactions” and “Director Independence” in our Proxy Statement for our 2026 Annual Meeting of Stockholders which will be filed no later than 120 days after the end of the fiscal year covered by this Annual Report on Form 10-K.</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124" w:lineRule="exact"/>
        <w:rPr>
          <w:sz w:val="20"/>
          <w:szCs w:val="20"/>
          <w:color w:val="auto"/>
        </w:rPr>
      </w:pPr>
    </w:p>
    <w:p>
      <w:pPr>
        <w:ind w:right="780" w:firstLine="490"/>
        <w:spacing w:after="0" w:line="305" w:lineRule="auto"/>
        <w:rPr>
          <w:sz w:val="20"/>
          <w:szCs w:val="20"/>
          <w:color w:val="auto"/>
        </w:rPr>
      </w:pPr>
      <w:r>
        <w:rPr>
          <w:rFonts w:ascii="Times New Roman" w:cs="Times New Roman" w:eastAsia="Times New Roman" w:hAnsi="Times New Roman"/>
          <w:sz w:val="19"/>
          <w:szCs w:val="19"/>
          <w:color w:val="auto"/>
        </w:rPr>
        <w:t>The information required by this item is incorporated by reference to the section titled “Proposal 2 - Ratification of Independent Registered Public Accounting Firm” in our Proxy Statement for our 2026 Annual</w:t>
      </w:r>
    </w:p>
    <w:p>
      <w:pPr>
        <w:sectPr>
          <w:pgSz w:w="12240" w:h="15840" w:orient="portrait"/>
          <w:cols w:equalWidth="0" w:num="1">
            <w:col w:w="9540"/>
          </w:cols>
          <w:pgMar w:left="1260" w:top="1236" w:right="1440" w:bottom="355"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540"/>
          </w:cols>
          <w:pgMar w:left="1260" w:top="1236" w:right="1440" w:bottom="355" w:gutter="0" w:footer="0" w:header="0"/>
          <w:type w:val="continuous"/>
        </w:sectPr>
      </w:pPr>
    </w:p>
    <w:bookmarkStart w:id="62" w:name="page63"/>
    <w:bookmarkEnd w:id="62"/>
    <w:p>
      <w:pPr>
        <w:ind w:right="420"/>
        <w:spacing w:after="0" w:line="277" w:lineRule="auto"/>
        <w:rPr>
          <w:sz w:val="20"/>
          <w:szCs w:val="20"/>
          <w:color w:val="auto"/>
        </w:rPr>
      </w:pPr>
      <w:r>
        <w:rPr>
          <w:rFonts w:ascii="Times New Roman" w:cs="Times New Roman" w:eastAsia="Times New Roman" w:hAnsi="Times New Roman"/>
          <w:sz w:val="20"/>
          <w:szCs w:val="20"/>
          <w:color w:val="auto"/>
        </w:rPr>
        <w:t>Meeting of Stockholders, which will be filed no later than 120 days after the end of the fiscal year covered by this Annual Report on Form 10-K.</w:t>
      </w:r>
    </w:p>
    <w:p>
      <w:pPr>
        <w:sectPr>
          <w:pgSz w:w="12240" w:h="15840" w:orient="portrait"/>
          <w:cols w:equalWidth="0" w:num="1">
            <w:col w:w="9540"/>
          </w:cols>
          <w:pgMar w:left="1260" w:top="1240"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540"/>
          </w:cols>
          <w:pgMar w:left="1260" w:top="1240" w:right="1440" w:bottom="355" w:gutter="0" w:footer="0" w:header="0"/>
          <w:type w:val="continuous"/>
        </w:sectPr>
      </w:pPr>
    </w:p>
    <w:bookmarkStart w:id="63" w:name="page64"/>
    <w:bookmarkEnd w:id="63"/>
    <w:p>
      <w:pPr>
        <w:ind w:left="428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92" w:lineRule="exact"/>
        <w:rPr>
          <w:sz w:val="20"/>
          <w:szCs w:val="20"/>
          <w:color w:val="auto"/>
        </w:rPr>
      </w:pPr>
    </w:p>
    <w:p>
      <w:pPr>
        <w:ind w:left="980" w:hanging="490"/>
        <w:spacing w:after="0"/>
        <w:tabs>
          <w:tab w:leader="none" w:pos="9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documents filed as a part of the report:</w:t>
      </w:r>
    </w:p>
    <w:p>
      <w:pPr>
        <w:spacing w:after="0" w:line="120" w:lineRule="exact"/>
        <w:rPr>
          <w:rFonts w:ascii="Times New Roman" w:cs="Times New Roman" w:eastAsia="Times New Roman" w:hAnsi="Times New Roman"/>
          <w:sz w:val="20"/>
          <w:szCs w:val="20"/>
          <w:color w:val="auto"/>
        </w:rPr>
      </w:pPr>
    </w:p>
    <w:p>
      <w:pPr>
        <w:ind w:left="1460" w:hanging="481"/>
        <w:spacing w:after="0"/>
        <w:tabs>
          <w:tab w:leader="none" w:pos="146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Financial Statements:</w:t>
      </w:r>
      <w:r>
        <w:rPr>
          <w:rFonts w:ascii="Times New Roman" w:cs="Times New Roman" w:eastAsia="Times New Roman" w:hAnsi="Times New Roman"/>
          <w:sz w:val="20"/>
          <w:szCs w:val="20"/>
          <w:color w:val="auto"/>
        </w:rPr>
        <w:t>. See “Index to Consolidated Financial Statements” on page F-1.</w:t>
      </w:r>
    </w:p>
    <w:p>
      <w:pPr>
        <w:spacing w:after="0" w:line="120" w:lineRule="exact"/>
        <w:rPr>
          <w:rFonts w:ascii="Times New Roman" w:cs="Times New Roman" w:eastAsia="Times New Roman" w:hAnsi="Times New Roman"/>
          <w:sz w:val="20"/>
          <w:szCs w:val="20"/>
          <w:color w:val="auto"/>
        </w:rPr>
      </w:pPr>
    </w:p>
    <w:p>
      <w:pPr>
        <w:ind w:left="1460" w:hanging="481"/>
        <w:spacing w:after="0"/>
        <w:tabs>
          <w:tab w:leader="none" w:pos="146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Financial Statements Schedule: </w:t>
      </w:r>
      <w:r>
        <w:rPr>
          <w:rFonts w:ascii="Times New Roman" w:cs="Times New Roman" w:eastAsia="Times New Roman" w:hAnsi="Times New Roman"/>
          <w:sz w:val="20"/>
          <w:szCs w:val="20"/>
          <w:color w:val="auto"/>
        </w:rPr>
        <w:t>Not Applicable</w:t>
      </w:r>
      <w:r>
        <w:rPr>
          <w:rFonts w:ascii="Times New Roman" w:cs="Times New Roman" w:eastAsia="Times New Roman" w:hAnsi="Times New Roman"/>
          <w:sz w:val="20"/>
          <w:szCs w:val="20"/>
          <w:i w:val="1"/>
          <w:iCs w:val="1"/>
          <w:color w:val="auto"/>
        </w:rPr>
        <w:t>.</w:t>
      </w:r>
    </w:p>
    <w:p>
      <w:pPr>
        <w:spacing w:after="0" w:line="202" w:lineRule="exact"/>
        <w:rPr>
          <w:rFonts w:ascii="Times New Roman" w:cs="Times New Roman" w:eastAsia="Times New Roman" w:hAnsi="Times New Roman"/>
          <w:sz w:val="20"/>
          <w:szCs w:val="20"/>
          <w:color w:val="auto"/>
        </w:rPr>
      </w:pPr>
    </w:p>
    <w:p>
      <w:pPr>
        <w:ind w:left="1460" w:hanging="481"/>
        <w:spacing w:after="0"/>
        <w:tabs>
          <w:tab w:leader="none" w:pos="146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Exhibits: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0" w:type="dxa"/>
            <w:vAlign w:val="bottom"/>
          </w:tcPr>
          <w:p>
            <w:pPr>
              <w:spacing w:after="0"/>
              <w:rPr>
                <w:sz w:val="16"/>
                <w:szCs w:val="16"/>
                <w:color w:val="auto"/>
              </w:rPr>
            </w:pPr>
          </w:p>
        </w:tc>
        <w:tc>
          <w:tcPr>
            <w:tcW w:w="8440" w:type="dxa"/>
            <w:vAlign w:val="bottom"/>
          </w:tcPr>
          <w:p>
            <w:pPr>
              <w:spacing w:after="0"/>
              <w:rPr>
                <w:sz w:val="16"/>
                <w:szCs w:val="16"/>
                <w:color w:val="auto"/>
              </w:rPr>
            </w:pPr>
          </w:p>
        </w:tc>
      </w:tr>
      <w:tr>
        <w:trPr>
          <w:trHeight w:val="203"/>
        </w:trPr>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0" w:type="dxa"/>
            <w:vAlign w:val="bottom"/>
          </w:tcPr>
          <w:p>
            <w:pPr>
              <w:spacing w:after="0"/>
              <w:rPr>
                <w:sz w:val="17"/>
                <w:szCs w:val="17"/>
                <w:color w:val="auto"/>
              </w:rPr>
            </w:pPr>
          </w:p>
        </w:tc>
        <w:tc>
          <w:tcPr>
            <w:tcW w:w="8440" w:type="dxa"/>
            <w:vAlign w:val="bottom"/>
            <w:tcBorders>
              <w:bottom w:val="single" w:sz="8" w:color="auto"/>
            </w:tcBorders>
          </w:tcPr>
          <w:p>
            <w:pPr>
              <w:ind w:left="38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11"/>
        </w:trPr>
        <w:tc>
          <w:tcPr>
            <w:tcW w:w="76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3.1</w:t>
            </w:r>
          </w:p>
        </w:tc>
        <w:tc>
          <w:tcPr>
            <w:tcW w:w="80" w:type="dxa"/>
            <w:vAlign w:val="bottom"/>
          </w:tcPr>
          <w:p>
            <w:pPr>
              <w:spacing w:after="0"/>
              <w:rPr>
                <w:sz w:val="18"/>
                <w:szCs w:val="18"/>
                <w:color w:val="auto"/>
              </w:rPr>
            </w:pPr>
          </w:p>
        </w:tc>
        <w:tc>
          <w:tcPr>
            <w:tcW w:w="844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Amended and Restated Certificate of Incorporation (incorporated by reference to the Company’s Form</w:t>
            </w:r>
          </w:p>
        </w:tc>
      </w:tr>
      <w:tr>
        <w:trPr>
          <w:trHeight w:val="245"/>
        </w:trPr>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8-K, Exhibit 3.1, filed July 6, 2023)</w:t>
            </w: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80" w:type="dxa"/>
            <w:vAlign w:val="bottom"/>
          </w:tcPr>
          <w:p>
            <w:pPr>
              <w:spacing w:after="0"/>
              <w:rPr>
                <w:sz w:val="20"/>
                <w:szCs w:val="20"/>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Bylaws of GEN Restaurant Group Inc. (incorporated by reference to the</w:t>
            </w:r>
          </w:p>
        </w:tc>
      </w:tr>
      <w:tr>
        <w:trPr>
          <w:trHeight w:val="245"/>
        </w:trPr>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Company’s Form 8-K, Exhibit 3.2, filed July 6, 2023)</w:t>
            </w: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80" w:type="dxa"/>
            <w:vAlign w:val="bottom"/>
          </w:tcPr>
          <w:p>
            <w:pPr>
              <w:spacing w:after="0"/>
              <w:rPr>
                <w:sz w:val="20"/>
                <w:szCs w:val="20"/>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Warrant to Purchase Class A Common Stock (incorporated by reference to the Company’s Form S-1,</w:t>
            </w:r>
          </w:p>
        </w:tc>
      </w:tr>
      <w:tr>
        <w:trPr>
          <w:trHeight w:val="245"/>
        </w:trPr>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Amendment No. 1, Exhibit 4.1, filed June 14, 2023)</w:t>
            </w: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80" w:type="dxa"/>
            <w:vAlign w:val="bottom"/>
          </w:tcPr>
          <w:p>
            <w:pPr>
              <w:spacing w:after="0"/>
              <w:rPr>
                <w:sz w:val="20"/>
                <w:szCs w:val="20"/>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Limited Liability Company Agreement (incorporated by reference to the</w:t>
            </w:r>
          </w:p>
        </w:tc>
      </w:tr>
      <w:tr>
        <w:trPr>
          <w:trHeight w:val="245"/>
        </w:trPr>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Company’s Form S-1, Exhibit 10.1, filed May 26, 2023)</w:t>
            </w: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80" w:type="dxa"/>
            <w:vAlign w:val="bottom"/>
          </w:tcPr>
          <w:p>
            <w:pPr>
              <w:spacing w:after="0"/>
              <w:rPr>
                <w:sz w:val="20"/>
                <w:szCs w:val="20"/>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Tax Receivable Agreement by and among GEN Restaurant Group, Inc., GEN Restaurant Companies,</w:t>
            </w:r>
          </w:p>
        </w:tc>
      </w:tr>
      <w:tr>
        <w:trPr>
          <w:trHeight w:val="230"/>
        </w:trPr>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LLC, the TRA Holders party thereto, and David Kim, as TRA Representative, dated as of June 30, 2023</w:t>
            </w:r>
          </w:p>
        </w:tc>
      </w:tr>
      <w:tr>
        <w:trPr>
          <w:trHeight w:val="245"/>
        </w:trPr>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(incorporated by reference to the Company’s Form 8-K, Exhibit 10.2, filed July 6, 2023)</w:t>
            </w: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80" w:type="dxa"/>
            <w:vAlign w:val="bottom"/>
          </w:tcPr>
          <w:p>
            <w:pPr>
              <w:spacing w:after="0"/>
              <w:rPr>
                <w:sz w:val="20"/>
                <w:szCs w:val="20"/>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Registration Rights Agreement (incorporated by reference to the Company’s Form S-1, Exhibit 10.4,</w:t>
            </w:r>
          </w:p>
        </w:tc>
      </w:tr>
      <w:tr>
        <w:trPr>
          <w:trHeight w:val="245"/>
        </w:trPr>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filed May 26, 2023)</w:t>
            </w: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80" w:type="dxa"/>
            <w:vAlign w:val="bottom"/>
          </w:tcPr>
          <w:p>
            <w:pPr>
              <w:spacing w:after="0"/>
              <w:rPr>
                <w:sz w:val="20"/>
                <w:szCs w:val="20"/>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Indemnification Agreement (incorporated by reference to the Company’s Form S-1, Exhibit 10.4, filed</w:t>
            </w:r>
          </w:p>
        </w:tc>
      </w:tr>
      <w:tr>
        <w:trPr>
          <w:trHeight w:val="245"/>
        </w:trPr>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May 26, 2023)</w:t>
            </w: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80" w:type="dxa"/>
            <w:vAlign w:val="bottom"/>
          </w:tcPr>
          <w:p>
            <w:pPr>
              <w:spacing w:after="0"/>
              <w:rPr>
                <w:sz w:val="20"/>
                <w:szCs w:val="20"/>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2023 Equity Incentive Plan (incorporated by reference to the Company’s Form S-1, Exhibit 10.5, filed</w:t>
            </w:r>
          </w:p>
        </w:tc>
      </w:tr>
      <w:tr>
        <w:trPr>
          <w:trHeight w:val="245"/>
        </w:trPr>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May 26, 2023)</w:t>
            </w: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80" w:type="dxa"/>
            <w:vAlign w:val="bottom"/>
          </w:tcPr>
          <w:p>
            <w:pPr>
              <w:spacing w:after="0"/>
              <w:rPr>
                <w:sz w:val="20"/>
                <w:szCs w:val="20"/>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Executive Employment Agreement, by and between the Company and David</w:t>
            </w:r>
          </w:p>
        </w:tc>
      </w:tr>
      <w:tr>
        <w:trPr>
          <w:trHeight w:val="230"/>
        </w:trPr>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Kim, dated as of May 12, 2025 (incorporated by reference to Exhibit 10.1 to the Company’s Quarterly</w:t>
            </w:r>
          </w:p>
        </w:tc>
      </w:tr>
      <w:tr>
        <w:trPr>
          <w:trHeight w:val="245"/>
        </w:trPr>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Report on Form 10-Q for the period ended March 31, 2025.</w:t>
            </w: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80" w:type="dxa"/>
            <w:vAlign w:val="bottom"/>
          </w:tcPr>
          <w:p>
            <w:pPr>
              <w:spacing w:after="0"/>
              <w:rPr>
                <w:sz w:val="20"/>
                <w:szCs w:val="20"/>
                <w:color w:val="auto"/>
              </w:rPr>
            </w:pPr>
          </w:p>
        </w:tc>
        <w:tc>
          <w:tcPr>
            <w:tcW w:w="8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Executive Employment Agreement Jae Chang (incorporated by reference to the Company’s Form 8-K,</w:t>
            </w:r>
          </w:p>
        </w:tc>
      </w:tr>
      <w:tr>
        <w:trPr>
          <w:trHeight w:val="245"/>
        </w:trPr>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Exhibit 10.2, filed August 4, 2023)</w:t>
            </w: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80" w:type="dxa"/>
            <w:vAlign w:val="bottom"/>
          </w:tcPr>
          <w:p>
            <w:pPr>
              <w:spacing w:after="0"/>
              <w:rPr>
                <w:sz w:val="20"/>
                <w:szCs w:val="20"/>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Executive Employment Agreement Thomas V. Croal (incorporated by reference to the Company’s Form</w:t>
            </w:r>
          </w:p>
        </w:tc>
      </w:tr>
      <w:tr>
        <w:trPr>
          <w:trHeight w:val="245"/>
        </w:trPr>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8-K, Exhibit 10.3, filed August 4, 2023)</w:t>
            </w: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80" w:type="dxa"/>
            <w:vAlign w:val="bottom"/>
          </w:tcPr>
          <w:p>
            <w:pPr>
              <w:spacing w:after="0"/>
              <w:rPr>
                <w:sz w:val="20"/>
                <w:szCs w:val="20"/>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Non-competition Agreement David Kim (incorporated by reference to the Company’s Form 8-K,</w:t>
            </w:r>
          </w:p>
        </w:tc>
      </w:tr>
      <w:tr>
        <w:trPr>
          <w:trHeight w:val="245"/>
        </w:trPr>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Exhibit 10.4, filed August 4, 2023)</w:t>
            </w: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80" w:type="dxa"/>
            <w:vAlign w:val="bottom"/>
          </w:tcPr>
          <w:p>
            <w:pPr>
              <w:spacing w:after="0"/>
              <w:rPr>
                <w:sz w:val="20"/>
                <w:szCs w:val="20"/>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Non-competition Agreement Jae Chang (incorporated by reference to the Company’s Form 8-K, Exhibit</w:t>
            </w:r>
          </w:p>
        </w:tc>
      </w:tr>
      <w:tr>
        <w:trPr>
          <w:trHeight w:val="245"/>
        </w:trPr>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10.5, filed August 4, 2023)</w:t>
            </w: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80" w:type="dxa"/>
            <w:vAlign w:val="bottom"/>
          </w:tcPr>
          <w:p>
            <w:pPr>
              <w:spacing w:after="0"/>
              <w:rPr>
                <w:sz w:val="20"/>
                <w:szCs w:val="20"/>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Master Services Agreement by and between Sysco Los Angeles Inc. and GEN Restaurant Group, dated</w:t>
            </w:r>
          </w:p>
        </w:tc>
      </w:tr>
      <w:tr>
        <w:trPr>
          <w:trHeight w:val="230"/>
        </w:trPr>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as of August 1, 2023 (incorporated by reference to the Company’s Form 8-K, Exhibit 10.1, filed August</w:t>
            </w:r>
          </w:p>
        </w:tc>
      </w:tr>
      <w:tr>
        <w:trPr>
          <w:trHeight w:val="245"/>
        </w:trPr>
        <w:tc>
          <w:tcPr>
            <w:tcW w:w="760" w:type="dxa"/>
            <w:vAlign w:val="bottom"/>
          </w:tcPr>
          <w:p>
            <w:pPr>
              <w:spacing w:after="0"/>
              <w:rPr>
                <w:sz w:val="21"/>
                <w:szCs w:val="21"/>
                <w:color w:val="auto"/>
              </w:rPr>
            </w:pPr>
          </w:p>
        </w:tc>
        <w:tc>
          <w:tcPr>
            <w:tcW w:w="85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7, 2023)</w:t>
            </w: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80" w:type="dxa"/>
            <w:vAlign w:val="bottom"/>
          </w:tcPr>
          <w:p>
            <w:pPr>
              <w:spacing w:after="0"/>
              <w:rPr>
                <w:sz w:val="20"/>
                <w:szCs w:val="20"/>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Business Loan Agreement among GEN Restaurant Group, Inc., GEN Restaurant Companies, LLC and</w:t>
            </w:r>
          </w:p>
        </w:tc>
      </w:tr>
      <w:tr>
        <w:trPr>
          <w:trHeight w:val="230"/>
        </w:trPr>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PCB Bank, effective as of September 25, 2023 (incorporated by reference to the Company’s Form 8-K,</w:t>
            </w:r>
          </w:p>
        </w:tc>
      </w:tr>
      <w:tr>
        <w:trPr>
          <w:trHeight w:val="245"/>
        </w:trPr>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Exhibit 10.1, filed October 4, 2023)</w:t>
            </w: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80" w:type="dxa"/>
            <w:vAlign w:val="bottom"/>
          </w:tcPr>
          <w:p>
            <w:pPr>
              <w:spacing w:after="0"/>
              <w:rPr>
                <w:sz w:val="20"/>
                <w:szCs w:val="20"/>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Form of Stock Bonus Award Agreement under the Company’s 2023 Equity Incentive Plan incorporated</w:t>
            </w:r>
          </w:p>
        </w:tc>
      </w:tr>
      <w:tr>
        <w:trPr>
          <w:trHeight w:val="230"/>
        </w:trPr>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by reference to Exhibit 10.2 to the Company’s Quarterly Report on Form 10-Q for the period ended</w:t>
            </w:r>
          </w:p>
        </w:tc>
      </w:tr>
      <w:tr>
        <w:trPr>
          <w:trHeight w:val="245"/>
        </w:trPr>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March 31, 2025.</w:t>
            </w: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80" w:type="dxa"/>
            <w:vAlign w:val="bottom"/>
          </w:tcPr>
          <w:p>
            <w:pPr>
              <w:spacing w:after="0"/>
              <w:rPr>
                <w:sz w:val="20"/>
                <w:szCs w:val="20"/>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Insider Trading Policy (incorporated by reference to the Company’s Annual Report on Form 10-K,</w:t>
            </w:r>
          </w:p>
        </w:tc>
      </w:tr>
      <w:tr>
        <w:trPr>
          <w:trHeight w:val="245"/>
        </w:trPr>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Exhibit 19.1, filed on March 10, 2025).</w:t>
            </w:r>
          </w:p>
        </w:tc>
      </w:tr>
      <w:tr>
        <w:trPr>
          <w:trHeight w:val="266"/>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80" w:type="dxa"/>
            <w:vAlign w:val="bottom"/>
          </w:tcPr>
          <w:p>
            <w:pPr>
              <w:spacing w:after="0"/>
              <w:rPr>
                <w:sz w:val="23"/>
                <w:szCs w:val="23"/>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Subsidiaries of the Registrant</w:t>
            </w:r>
          </w:p>
        </w:tc>
      </w:tr>
      <w:tr>
        <w:trPr>
          <w:trHeight w:val="469"/>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80" w:type="dxa"/>
            <w:vAlign w:val="bottom"/>
          </w:tcPr>
          <w:p>
            <w:pPr>
              <w:spacing w:after="0"/>
              <w:rPr>
                <w:sz w:val="24"/>
                <w:szCs w:val="24"/>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Consent of CBIZ CPAs P.C., independent registered public accounting firm.</w:t>
            </w:r>
          </w:p>
        </w:tc>
      </w:tr>
      <w:tr>
        <w:trPr>
          <w:trHeight w:val="245"/>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23.2*</w:t>
            </w:r>
          </w:p>
        </w:tc>
        <w:tc>
          <w:tcPr>
            <w:tcW w:w="80" w:type="dxa"/>
            <w:vAlign w:val="bottom"/>
          </w:tcPr>
          <w:p>
            <w:pPr>
              <w:spacing w:after="0"/>
              <w:rPr>
                <w:sz w:val="21"/>
                <w:szCs w:val="21"/>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Consent of Marcum LLP, independent registered public accounting firm.</w:t>
            </w:r>
          </w:p>
        </w:tc>
      </w:tr>
      <w:tr>
        <w:trPr>
          <w:trHeight w:val="266"/>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24.1*</w:t>
            </w:r>
          </w:p>
        </w:tc>
        <w:tc>
          <w:tcPr>
            <w:tcW w:w="80" w:type="dxa"/>
            <w:vAlign w:val="bottom"/>
          </w:tcPr>
          <w:p>
            <w:pPr>
              <w:spacing w:after="0"/>
              <w:rPr>
                <w:sz w:val="23"/>
                <w:szCs w:val="23"/>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Power of Attorney (included on the signature page hereto)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-6892290</wp:posOffset>
            </wp:positionV>
            <wp:extent cx="5883910" cy="6882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2">
                      <a:extLst>
                        <a:ext uri="{28A0092B-C50C-407E-A947-70E740481C1C}"/>
                      </a:extLst>
                    </a:blip>
                    <a:srcRect/>
                    <a:stretch>
                      <a:fillRect/>
                    </a:stretch>
                  </pic:blipFill>
                  <pic:spPr bwMode="auto">
                    <a:xfrm>
                      <a:off x="0" y="0"/>
                      <a:ext cx="5883910" cy="6882130"/>
                    </a:xfrm>
                    <a:prstGeom prst="rect">
                      <a:avLst/>
                    </a:prstGeom>
                    <a:noFill/>
                  </pic:spPr>
                </pic:pic>
              </a:graphicData>
            </a:graphic>
          </wp:anchor>
        </w:drawing>
      </w:r>
    </w:p>
    <w:p>
      <w:pPr>
        <w:sectPr>
          <w:pgSz w:w="12240" w:h="15840" w:orient="portrait"/>
          <w:cols w:equalWidth="0" w:num="1">
            <w:col w:w="9540"/>
          </w:cols>
          <w:pgMar w:left="1260" w:top="1236" w:right="1440" w:bottom="355"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540"/>
          </w:cols>
          <w:pgMar w:left="1260" w:top="1236" w:right="1440" w:bottom="355" w:gutter="0" w:footer="0" w:header="0"/>
          <w:type w:val="continuous"/>
        </w:sectPr>
      </w:pPr>
    </w:p>
    <w:bookmarkStart w:id="64" w:name="page65"/>
    <w:bookmarkEnd w:id="64"/>
    <w:tbl>
      <w:tblPr>
        <w:tblLayout w:type="fixed"/>
        <w:tblInd w:w="4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Certification of Principal Executive Officer Pursuant to Rules 13a-14(a) and 15d-14(a) under the</w:t>
            </w:r>
          </w:p>
        </w:tc>
      </w:tr>
      <w:tr>
        <w:trPr>
          <w:trHeight w:val="230"/>
        </w:trPr>
        <w:tc>
          <w:tcPr>
            <w:tcW w:w="760" w:type="dxa"/>
            <w:vAlign w:val="bottom"/>
          </w:tcPr>
          <w:p>
            <w:pPr>
              <w:spacing w:after="0"/>
              <w:rPr>
                <w:sz w:val="20"/>
                <w:szCs w:val="20"/>
                <w:color w:val="auto"/>
              </w:rPr>
            </w:pP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Securities Exchange Act of 1934, as Adopted Pursuant to Section 302 of the Sarbanes-Oxley Act of</w:t>
            </w:r>
          </w:p>
        </w:tc>
      </w:tr>
      <w:tr>
        <w:trPr>
          <w:trHeight w:val="245"/>
        </w:trPr>
        <w:tc>
          <w:tcPr>
            <w:tcW w:w="760" w:type="dxa"/>
            <w:vAlign w:val="bottom"/>
          </w:tcPr>
          <w:p>
            <w:pPr>
              <w:spacing w:after="0"/>
              <w:rPr>
                <w:sz w:val="21"/>
                <w:szCs w:val="21"/>
                <w:color w:val="auto"/>
              </w:rPr>
            </w:pP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2002.</w:t>
            </w: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Rules 13a-14(a) and 15d-14(a) under the</w:t>
            </w:r>
          </w:p>
        </w:tc>
      </w:tr>
      <w:tr>
        <w:trPr>
          <w:trHeight w:val="230"/>
        </w:trPr>
        <w:tc>
          <w:tcPr>
            <w:tcW w:w="760" w:type="dxa"/>
            <w:vAlign w:val="bottom"/>
          </w:tcPr>
          <w:p>
            <w:pPr>
              <w:spacing w:after="0"/>
              <w:rPr>
                <w:sz w:val="20"/>
                <w:szCs w:val="20"/>
                <w:color w:val="auto"/>
              </w:rPr>
            </w:pP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Securities Exchange Act of 1934, as Adopted Pursuant to Section 302 of the Sarbanes-Oxley Act of</w:t>
            </w:r>
          </w:p>
        </w:tc>
      </w:tr>
      <w:tr>
        <w:trPr>
          <w:trHeight w:val="245"/>
        </w:trPr>
        <w:tc>
          <w:tcPr>
            <w:tcW w:w="760" w:type="dxa"/>
            <w:vAlign w:val="bottom"/>
          </w:tcPr>
          <w:p>
            <w:pPr>
              <w:spacing w:after="0"/>
              <w:rPr>
                <w:sz w:val="21"/>
                <w:szCs w:val="21"/>
                <w:color w:val="auto"/>
              </w:rPr>
            </w:pP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2002.</w:t>
            </w: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Certification of Principal Executive Officer Pursuant to 18 U.S.C. Section 1350, as Adopted Pursuant to</w:t>
            </w:r>
          </w:p>
        </w:tc>
      </w:tr>
      <w:tr>
        <w:trPr>
          <w:trHeight w:val="245"/>
        </w:trPr>
        <w:tc>
          <w:tcPr>
            <w:tcW w:w="760" w:type="dxa"/>
            <w:vAlign w:val="bottom"/>
          </w:tcPr>
          <w:p>
            <w:pPr>
              <w:spacing w:after="0"/>
              <w:rPr>
                <w:sz w:val="21"/>
                <w:szCs w:val="21"/>
                <w:color w:val="auto"/>
              </w:rPr>
            </w:pP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Section 906 of the Sarbanes-Oxley Act of 2002.</w:t>
            </w: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18 U.S.C. Section 1350, as Adopted Pursuant to</w:t>
            </w:r>
          </w:p>
        </w:tc>
      </w:tr>
      <w:tr>
        <w:trPr>
          <w:trHeight w:val="245"/>
        </w:trPr>
        <w:tc>
          <w:tcPr>
            <w:tcW w:w="760" w:type="dxa"/>
            <w:vAlign w:val="bottom"/>
          </w:tcPr>
          <w:p>
            <w:pPr>
              <w:spacing w:after="0"/>
              <w:rPr>
                <w:sz w:val="21"/>
                <w:szCs w:val="21"/>
                <w:color w:val="auto"/>
              </w:rPr>
            </w:pP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Section 906 of the Sarbanes-Oxley Act of 2002.</w:t>
            </w: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GEN Restaurant Group Clawback Policy (incorporated by reference to the Company’s Annual Report</w:t>
            </w:r>
          </w:p>
        </w:tc>
      </w:tr>
      <w:tr>
        <w:trPr>
          <w:trHeight w:val="266"/>
        </w:trPr>
        <w:tc>
          <w:tcPr>
            <w:tcW w:w="760" w:type="dxa"/>
            <w:vAlign w:val="bottom"/>
          </w:tcPr>
          <w:p>
            <w:pPr>
              <w:spacing w:after="0"/>
              <w:rPr>
                <w:sz w:val="23"/>
                <w:szCs w:val="23"/>
                <w:color w:val="auto"/>
              </w:rPr>
            </w:pP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on Form 10-K, Exhibit 97.1, filed on March 7, 2024)</w:t>
            </w:r>
          </w:p>
        </w:tc>
      </w:tr>
      <w:tr>
        <w:trPr>
          <w:trHeight w:val="48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Inline XBRL Instance Document – the instance document does not appear in the Interactive Data File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-2115820</wp:posOffset>
            </wp:positionV>
            <wp:extent cx="5883910" cy="2700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3">
                      <a:extLst>
                        <a:ext uri="{28A0092B-C50C-407E-A947-70E740481C1C}"/>
                      </a:extLst>
                    </a:blip>
                    <a:srcRect/>
                    <a:stretch>
                      <a:fillRect/>
                    </a:stretch>
                  </pic:blipFill>
                  <pic:spPr bwMode="auto">
                    <a:xfrm>
                      <a:off x="0" y="0"/>
                      <a:ext cx="5883910" cy="2700020"/>
                    </a:xfrm>
                    <a:prstGeom prst="rect">
                      <a:avLst/>
                    </a:prstGeom>
                    <a:noFill/>
                  </pic:spPr>
                </pic:pic>
              </a:graphicData>
            </a:graphic>
          </wp:anchor>
        </w:drawing>
      </w:r>
    </w:p>
    <w:p>
      <w:pPr>
        <w:ind w:left="880" w:hanging="833"/>
        <w:spacing w:after="0"/>
        <w:tabs>
          <w:tab w:leader="none" w:pos="8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because XBRL tags are embedded within the Inline XBRL document.</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 xml:space="preserve">101.SCH  </w:t>
      </w:r>
      <w:r>
        <w:rPr>
          <w:rFonts w:ascii="Times New Roman" w:cs="Times New Roman" w:eastAsia="Times New Roman" w:hAnsi="Times New Roman"/>
          <w:sz w:val="20"/>
          <w:szCs w:val="20"/>
          <w:color w:val="auto"/>
        </w:rPr>
        <w:t>Inline XBRL Taxonomy Extension Schema with Embedded Linkbase Documents</w:t>
      </w:r>
    </w:p>
    <w:p>
      <w:pPr>
        <w:ind w:left="40"/>
        <w:spacing w:after="0"/>
        <w:rPr>
          <w:sz w:val="20"/>
          <w:szCs w:val="20"/>
          <w:color w:val="auto"/>
        </w:rPr>
      </w:pPr>
      <w:r>
        <w:rPr>
          <w:rFonts w:ascii="Times New Roman" w:cs="Times New Roman" w:eastAsia="Times New Roman" w:hAnsi="Times New Roman"/>
          <w:sz w:val="19"/>
          <w:szCs w:val="19"/>
          <w:color w:val="auto"/>
        </w:rPr>
        <w:t>+</w:t>
      </w:r>
    </w:p>
    <w:p>
      <w:pPr>
        <w:spacing w:after="0" w:line="9" w:lineRule="exact"/>
        <w:rPr>
          <w:sz w:val="20"/>
          <w:szCs w:val="20"/>
          <w:color w:val="auto"/>
        </w:rPr>
      </w:pPr>
    </w:p>
    <w:p>
      <w:pPr>
        <w:ind w:left="40"/>
        <w:spacing w:after="0"/>
        <w:tabs>
          <w:tab w:leader="none" w:pos="86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auto"/>
        </w:rPr>
        <w:t>Cover Page Interactive Data File (embedded within the Inline XBRL document)</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 Filed herewith.</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 Denotes management compensatory plan or arrangement.</w:t>
      </w:r>
    </w:p>
    <w:p>
      <w:pPr>
        <w:spacing w:after="0" w:line="60" w:lineRule="exact"/>
        <w:rPr>
          <w:sz w:val="20"/>
          <w:szCs w:val="20"/>
          <w:color w:val="auto"/>
        </w:rPr>
      </w:pPr>
    </w:p>
    <w:p>
      <w:pPr>
        <w:ind w:right="340" w:firstLine="490"/>
        <w:spacing w:after="0" w:line="252" w:lineRule="auto"/>
        <w:tabs>
          <w:tab w:leader="none" w:pos="7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certifications accompany this Annual Report on Form 10-K; they are not deemed “filed” with the SEC and are not to be incorporated by reference in any filing of the Company under the Securities Act of the Exchange Act, whether made before or after the date hereof and irrespective of any general incorporation language in any filings, except to the extent that the Company specifically incorporates it by reference.</w:t>
      </w:r>
    </w:p>
    <w:p>
      <w:pPr>
        <w:spacing w:after="0" w:line="14" w:lineRule="exact"/>
        <w:rPr>
          <w:sz w:val="20"/>
          <w:szCs w:val="20"/>
          <w:color w:val="auto"/>
        </w:rPr>
      </w:pPr>
    </w:p>
    <w:p>
      <w:pPr>
        <w:ind w:right="300" w:firstLine="490"/>
        <w:spacing w:after="0" w:line="258" w:lineRule="auto"/>
        <w:tabs>
          <w:tab w:leader="none" w:pos="65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XBRL information is furnished and not filed or a part of a registration statement or prospectus for purposes of Sections 11 or 12 of the Securities Act is deemed not filed for purposes of Section 18 of the Exchange Act and otherwise is not subject to liability under these sections.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540"/>
          </w:cols>
          <w:pgMar w:left="1260" w:top="1255"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540"/>
          </w:cols>
          <w:pgMar w:left="1260" w:top="1255" w:right="1440" w:bottom="355" w:gutter="0" w:footer="0" w:header="0"/>
          <w:type w:val="continuous"/>
        </w:sectPr>
      </w:pPr>
    </w:p>
    <w:bookmarkStart w:id="65" w:name="page66"/>
    <w:bookmarkEnd w:id="65"/>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24" w:lineRule="exact"/>
        <w:rPr>
          <w:sz w:val="20"/>
          <w:szCs w:val="20"/>
          <w:color w:val="auto"/>
        </w:rPr>
      </w:pPr>
    </w:p>
    <w:p>
      <w:pPr>
        <w:ind w:right="360" w:firstLine="49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20"/>
          <w:szCs w:val="20"/>
          <w:b w:val="1"/>
          <w:bCs w:val="1"/>
          <w:color w:val="auto"/>
        </w:rPr>
        <w:t>.</w:t>
      </w:r>
    </w:p>
    <w:p>
      <w:pPr>
        <w:spacing w:after="0" w:line="2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GEN RESTAURANT GROUP, INC.</w:t>
      </w:r>
    </w:p>
    <w:p>
      <w:pPr>
        <w:spacing w:after="0" w:line="260" w:lineRule="exact"/>
        <w:rPr>
          <w:sz w:val="20"/>
          <w:szCs w:val="20"/>
          <w:color w:val="auto"/>
        </w:rPr>
      </w:pPr>
    </w:p>
    <w:p>
      <w:pPr>
        <w:spacing w:after="0"/>
        <w:tabs>
          <w:tab w:leader="none" w:pos="4480" w:val="left"/>
          <w:tab w:leader="none" w:pos="6360" w:val="left"/>
        </w:tabs>
        <w:rPr>
          <w:sz w:val="20"/>
          <w:szCs w:val="20"/>
          <w:color w:val="auto"/>
        </w:rPr>
      </w:pPr>
      <w:r>
        <w:rPr>
          <w:rFonts w:ascii="Times New Roman" w:cs="Times New Roman" w:eastAsia="Times New Roman" w:hAnsi="Times New Roman"/>
          <w:sz w:val="20"/>
          <w:szCs w:val="20"/>
          <w:color w:val="auto"/>
        </w:rPr>
        <w:t>Date: March 31,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Thomas V. Croal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3186430</wp:posOffset>
                </wp:positionH>
                <wp:positionV relativeFrom="paragraph">
                  <wp:posOffset>13970</wp:posOffset>
                </wp:positionV>
                <wp:extent cx="275717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5717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9pt,1.1pt" to="468pt,1.1pt" o:allowincell="f" strokecolor="#000000" strokeweight="0.25pt"/>
            </w:pict>
          </mc:Fallback>
        </mc:AlternateContent>
      </w:r>
    </w:p>
    <w:p>
      <w:pPr>
        <w:spacing w:after="0" w:line="16" w:lineRule="exact"/>
        <w:rPr>
          <w:sz w:val="20"/>
          <w:szCs w:val="20"/>
          <w:color w:val="auto"/>
        </w:rPr>
      </w:pPr>
    </w:p>
    <w:p>
      <w:pPr>
        <w:jc w:val="center"/>
        <w:ind w:left="4640"/>
        <w:spacing w:after="0"/>
        <w:rPr>
          <w:sz w:val="20"/>
          <w:szCs w:val="20"/>
          <w:color w:val="auto"/>
        </w:rPr>
      </w:pPr>
      <w:r>
        <w:rPr>
          <w:rFonts w:ascii="Times New Roman" w:cs="Times New Roman" w:eastAsia="Times New Roman" w:hAnsi="Times New Roman"/>
          <w:sz w:val="20"/>
          <w:szCs w:val="20"/>
          <w:b w:val="1"/>
          <w:bCs w:val="1"/>
          <w:color w:val="auto"/>
        </w:rPr>
        <w:t>Thomas V. Croal</w:t>
      </w:r>
    </w:p>
    <w:p>
      <w:pPr>
        <w:spacing w:after="0" w:line="24" w:lineRule="exact"/>
        <w:rPr>
          <w:sz w:val="20"/>
          <w:szCs w:val="20"/>
          <w:color w:val="auto"/>
        </w:rPr>
      </w:pPr>
    </w:p>
    <w:p>
      <w:pPr>
        <w:jc w:val="center"/>
        <w:ind w:left="4640"/>
        <w:spacing w:after="0"/>
        <w:rPr>
          <w:sz w:val="20"/>
          <w:szCs w:val="20"/>
          <w:color w:val="auto"/>
        </w:rPr>
      </w:pPr>
      <w:r>
        <w:rPr>
          <w:rFonts w:ascii="Times New Roman" w:cs="Times New Roman" w:eastAsia="Times New Roman" w:hAnsi="Times New Roman"/>
          <w:sz w:val="20"/>
          <w:szCs w:val="20"/>
          <w:b w:val="1"/>
          <w:bCs w:val="1"/>
          <w:color w:val="auto"/>
        </w:rPr>
        <w:t>Chief Financial Officer</w:t>
      </w:r>
    </w:p>
    <w:p>
      <w:pPr>
        <w:spacing w:after="0" w:line="15" w:lineRule="exact"/>
        <w:rPr>
          <w:sz w:val="20"/>
          <w:szCs w:val="20"/>
          <w:color w:val="auto"/>
        </w:rPr>
      </w:pPr>
    </w:p>
    <w:p>
      <w:pPr>
        <w:jc w:val="center"/>
        <w:ind w:left="4640"/>
        <w:spacing w:after="0"/>
        <w:rPr>
          <w:sz w:val="20"/>
          <w:szCs w:val="20"/>
          <w:color w:val="auto"/>
        </w:rPr>
      </w:pPr>
      <w:r>
        <w:rPr>
          <w:rFonts w:ascii="Times New Roman" w:cs="Times New Roman" w:eastAsia="Times New Roman" w:hAnsi="Times New Roman"/>
          <w:sz w:val="20"/>
          <w:szCs w:val="20"/>
          <w:b w:val="1"/>
          <w:bCs w:val="1"/>
          <w:color w:val="auto"/>
        </w:rPr>
        <w:t>(Principal Financial and Accounting Officer)</w:t>
      </w:r>
    </w:p>
    <w:p>
      <w:pPr>
        <w:spacing w:after="0" w:line="3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40" w:lineRule="exact"/>
        <w:rPr>
          <w:sz w:val="20"/>
          <w:szCs w:val="20"/>
          <w:color w:val="auto"/>
        </w:rPr>
      </w:pPr>
    </w:p>
    <w:p>
      <w:pPr>
        <w:ind w:right="260" w:firstLine="490"/>
        <w:spacing w:after="0" w:line="244" w:lineRule="auto"/>
        <w:rPr>
          <w:sz w:val="20"/>
          <w:szCs w:val="20"/>
          <w:color w:val="auto"/>
        </w:rPr>
      </w:pPr>
      <w:r>
        <w:rPr>
          <w:rFonts w:ascii="Times New Roman" w:cs="Times New Roman" w:eastAsia="Times New Roman" w:hAnsi="Times New Roman"/>
          <w:sz w:val="20"/>
          <w:szCs w:val="20"/>
          <w:color w:val="auto"/>
        </w:rPr>
        <w:t>KNOW ALL PERSONS BY THESE PRESENTS that each individual whose signature appears below constitutes and appoints David Kim and Thomas V. Croal and each them, his true and lawful attorneys-in-fact and agents, with full power of substitution, for him or her and in his or her name, place and stead, in any and all capacities, to sign any and all amendments to this Annual Report on Form 10-K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his or their substitute or substitutes, may lawfully do or cause to be done by virtue hereof.</w:t>
      </w:r>
    </w:p>
    <w:p>
      <w:pPr>
        <w:spacing w:after="0" w:line="166" w:lineRule="exact"/>
        <w:rPr>
          <w:sz w:val="20"/>
          <w:szCs w:val="20"/>
          <w:color w:val="auto"/>
        </w:rPr>
      </w:pPr>
    </w:p>
    <w:p>
      <w:pPr>
        <w:ind w:right="220" w:firstLine="490"/>
        <w:spacing w:after="0" w:line="27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below by the following persons on behalf of the Registrant in the capacities and on the dates indicated.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100" w:type="dxa"/>
            <w:vAlign w:val="bottom"/>
          </w:tcPr>
          <w:p>
            <w:pPr>
              <w:spacing w:after="0"/>
              <w:rPr>
                <w:sz w:val="17"/>
                <w:szCs w:val="17"/>
                <w:color w:val="auto"/>
              </w:rPr>
            </w:pPr>
          </w:p>
        </w:tc>
        <w:tc>
          <w:tcPr>
            <w:tcW w:w="406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00" w:type="dxa"/>
            <w:vAlign w:val="bottom"/>
          </w:tcPr>
          <w:p>
            <w:pPr>
              <w:spacing w:after="0"/>
              <w:rPr>
                <w:sz w:val="17"/>
                <w:szCs w:val="17"/>
                <w:color w:val="auto"/>
              </w:rPr>
            </w:pPr>
          </w:p>
        </w:tc>
        <w:tc>
          <w:tcPr>
            <w:tcW w:w="20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b w:val="1"/>
                <w:bCs w:val="1"/>
                <w:color w:val="auto"/>
              </w:rPr>
              <w:t>Date</w:t>
            </w:r>
          </w:p>
        </w:tc>
      </w:tr>
      <w:tr>
        <w:trPr>
          <w:trHeight w:val="337"/>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David Kim</w:t>
            </w:r>
          </w:p>
        </w:tc>
        <w:tc>
          <w:tcPr>
            <w:tcW w:w="10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March 31, 2026</w:t>
            </w:r>
          </w:p>
        </w:tc>
      </w:tr>
      <w:tr>
        <w:trPr>
          <w:trHeight w:val="247"/>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David Kim</w:t>
            </w:r>
          </w:p>
        </w:tc>
        <w:tc>
          <w:tcPr>
            <w:tcW w:w="100" w:type="dxa"/>
            <w:vAlign w:val="bottom"/>
          </w:tcPr>
          <w:p>
            <w:pPr>
              <w:spacing w:after="0"/>
              <w:rPr>
                <w:sz w:val="21"/>
                <w:szCs w:val="21"/>
                <w:color w:val="auto"/>
              </w:rPr>
            </w:pPr>
          </w:p>
        </w:tc>
        <w:tc>
          <w:tcPr>
            <w:tcW w:w="4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(Principal Executive Officer and Director)</w:t>
            </w: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335"/>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Thomas V. Croal</w:t>
            </w:r>
          </w:p>
        </w:tc>
        <w:tc>
          <w:tcPr>
            <w:tcW w:w="100" w:type="dxa"/>
            <w:vAlign w:val="bottom"/>
            <w:tcBorders>
              <w:bottom w:val="single" w:sz="8" w:color="auto"/>
            </w:tcBorders>
          </w:tcPr>
          <w:p>
            <w:pPr>
              <w:spacing w:after="0"/>
              <w:rPr>
                <w:sz w:val="24"/>
                <w:szCs w:val="2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March 31, 2026</w:t>
            </w:r>
          </w:p>
        </w:tc>
      </w:tr>
      <w:tr>
        <w:trPr>
          <w:trHeight w:val="252"/>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Thomas V. Croal</w:t>
            </w:r>
          </w:p>
        </w:tc>
        <w:tc>
          <w:tcPr>
            <w:tcW w:w="100" w:type="dxa"/>
            <w:vAlign w:val="bottom"/>
          </w:tcPr>
          <w:p>
            <w:pPr>
              <w:spacing w:after="0"/>
              <w:rPr>
                <w:sz w:val="21"/>
                <w:szCs w:val="21"/>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473"/>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/s/Jae Chang</w:t>
            </w:r>
          </w:p>
        </w:tc>
        <w:tc>
          <w:tcPr>
            <w:tcW w:w="10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Jae Chang</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March 31, 2026</w:t>
            </w:r>
          </w:p>
        </w:tc>
      </w:tr>
      <w:tr>
        <w:trPr>
          <w:trHeight w:val="252"/>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Jae Chang</w:t>
            </w:r>
          </w:p>
        </w:tc>
        <w:tc>
          <w:tcPr>
            <w:tcW w:w="100" w:type="dxa"/>
            <w:vAlign w:val="bottom"/>
          </w:tcPr>
          <w:p>
            <w:pPr>
              <w:spacing w:after="0"/>
              <w:rPr>
                <w:sz w:val="21"/>
                <w:szCs w:val="21"/>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473"/>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Michael B. Cowan</w:t>
            </w:r>
          </w:p>
        </w:tc>
        <w:tc>
          <w:tcPr>
            <w:tcW w:w="10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Michael B. Cowan</w:t>
            </w:r>
          </w:p>
        </w:tc>
        <w:tc>
          <w:tcPr>
            <w:tcW w:w="100" w:type="dxa"/>
            <w:vAlign w:val="bottom"/>
          </w:tcPr>
          <w:p>
            <w:pPr>
              <w:spacing w:after="0"/>
              <w:rPr>
                <w:sz w:val="24"/>
                <w:szCs w:val="24"/>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March 31, 2026</w:t>
            </w:r>
          </w:p>
        </w:tc>
      </w:tr>
      <w:tr>
        <w:trPr>
          <w:trHeight w:val="247"/>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Michael B. Cowan</w:t>
            </w:r>
          </w:p>
        </w:tc>
        <w:tc>
          <w:tcPr>
            <w:tcW w:w="100" w:type="dxa"/>
            <w:vAlign w:val="bottom"/>
          </w:tcPr>
          <w:p>
            <w:pPr>
              <w:spacing w:after="0"/>
              <w:rPr>
                <w:sz w:val="21"/>
                <w:szCs w:val="21"/>
                <w:color w:val="auto"/>
              </w:rPr>
            </w:pPr>
          </w:p>
        </w:tc>
        <w:tc>
          <w:tcPr>
            <w:tcW w:w="4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335"/>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Jonathan Gregory</w:t>
            </w:r>
          </w:p>
        </w:tc>
        <w:tc>
          <w:tcPr>
            <w:tcW w:w="100" w:type="dxa"/>
            <w:vAlign w:val="bottom"/>
          </w:tcPr>
          <w:p>
            <w:pPr>
              <w:spacing w:after="0"/>
              <w:rPr>
                <w:sz w:val="24"/>
                <w:szCs w:val="24"/>
                <w:color w:val="auto"/>
              </w:rPr>
            </w:pPr>
          </w:p>
        </w:tc>
        <w:tc>
          <w:tcPr>
            <w:tcW w:w="40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Jonathan Gregory</w:t>
            </w:r>
          </w:p>
        </w:tc>
        <w:tc>
          <w:tcPr>
            <w:tcW w:w="100" w:type="dxa"/>
            <w:vAlign w:val="bottom"/>
          </w:tcPr>
          <w:p>
            <w:pPr>
              <w:spacing w:after="0"/>
              <w:rPr>
                <w:sz w:val="24"/>
                <w:szCs w:val="24"/>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March 31, 2026</w:t>
            </w:r>
          </w:p>
        </w:tc>
      </w:tr>
      <w:tr>
        <w:trPr>
          <w:trHeight w:val="247"/>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Jonathan Gregory</w:t>
            </w:r>
          </w:p>
        </w:tc>
        <w:tc>
          <w:tcPr>
            <w:tcW w:w="100" w:type="dxa"/>
            <w:vAlign w:val="bottom"/>
          </w:tcPr>
          <w:p>
            <w:pPr>
              <w:spacing w:after="0"/>
              <w:rPr>
                <w:sz w:val="21"/>
                <w:szCs w:val="21"/>
                <w:color w:val="auto"/>
              </w:rPr>
            </w:pPr>
          </w:p>
        </w:tc>
        <w:tc>
          <w:tcPr>
            <w:tcW w:w="4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427"/>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David Park</w:t>
            </w:r>
          </w:p>
        </w:tc>
        <w:tc>
          <w:tcPr>
            <w:tcW w:w="100" w:type="dxa"/>
            <w:vAlign w:val="bottom"/>
            <w:tcBorders>
              <w:bottom w:val="single" w:sz="8" w:color="auto"/>
            </w:tcBorders>
          </w:tcPr>
          <w:p>
            <w:pPr>
              <w:spacing w:after="0"/>
              <w:rPr>
                <w:sz w:val="24"/>
                <w:szCs w:val="24"/>
                <w:color w:val="auto"/>
              </w:rPr>
            </w:pPr>
          </w:p>
        </w:tc>
        <w:tc>
          <w:tcPr>
            <w:tcW w:w="40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David Park</w:t>
            </w:r>
          </w:p>
        </w:tc>
        <w:tc>
          <w:tcPr>
            <w:tcW w:w="100" w:type="dxa"/>
            <w:vAlign w:val="bottom"/>
          </w:tcPr>
          <w:p>
            <w:pPr>
              <w:spacing w:after="0"/>
              <w:rPr>
                <w:sz w:val="24"/>
                <w:szCs w:val="24"/>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March 31, 2026</w:t>
            </w:r>
          </w:p>
        </w:tc>
      </w:tr>
      <w:tr>
        <w:trPr>
          <w:trHeight w:val="252"/>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David Park</w:t>
            </w:r>
          </w:p>
        </w:tc>
        <w:tc>
          <w:tcPr>
            <w:tcW w:w="100" w:type="dxa"/>
            <w:vAlign w:val="bottom"/>
          </w:tcPr>
          <w:p>
            <w:pPr>
              <w:spacing w:after="0"/>
              <w:rPr>
                <w:sz w:val="21"/>
                <w:szCs w:val="21"/>
                <w:color w:val="auto"/>
              </w:rPr>
            </w:pPr>
          </w:p>
        </w:tc>
        <w:tc>
          <w:tcPr>
            <w:tcW w:w="4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r>
    </w:tbl>
    <w:p>
      <w:pPr>
        <w:spacing w:after="0" w:line="200" w:lineRule="exact"/>
        <w:rPr>
          <w:sz w:val="20"/>
          <w:szCs w:val="20"/>
          <w:color w:val="auto"/>
        </w:rPr>
      </w:pPr>
    </w:p>
    <w:p>
      <w:pPr>
        <w:sectPr>
          <w:pgSz w:w="12240" w:h="15840" w:orient="portrait"/>
          <w:cols w:equalWidth="0" w:num="1">
            <w:col w:w="9540"/>
          </w:cols>
          <w:pgMar w:left="1260" w:top="1236"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540"/>
          </w:cols>
          <w:pgMar w:left="1260" w:top="1236" w:right="1440" w:bottom="355"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274"/>
        </w:trPr>
        <w:tc>
          <w:tcPr>
            <w:tcW w:w="8820" w:type="dxa"/>
            <w:vAlign w:val="bottom"/>
          </w:tcPr>
          <w:p>
            <w:pPr>
              <w:ind w:left="206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0"/>
        </w:trPr>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(Marcum LLP)</w:t>
            </w:r>
          </w:p>
        </w:tc>
        <w:tc>
          <w:tcPr>
            <w:tcW w:w="52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3"/>
              </w:rPr>
              <w:t>F-2</w:t>
            </w:r>
          </w:p>
        </w:tc>
        <w:tc>
          <w:tcPr>
            <w:tcW w:w="0" w:type="dxa"/>
            <w:vAlign w:val="bottom"/>
          </w:tcPr>
          <w:p>
            <w:pPr>
              <w:spacing w:after="0"/>
              <w:rPr>
                <w:sz w:val="1"/>
                <w:szCs w:val="1"/>
                <w:color w:val="auto"/>
              </w:rPr>
            </w:pPr>
          </w:p>
        </w:tc>
      </w:tr>
      <w:tr>
        <w:trPr>
          <w:trHeight w:val="245"/>
        </w:trPr>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(CBIZ CPAs P.C.)</w:t>
            </w:r>
          </w:p>
        </w:tc>
        <w:tc>
          <w:tcPr>
            <w:tcW w:w="52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3"/>
              </w:rPr>
              <w:t>F-3</w:t>
            </w:r>
          </w:p>
        </w:tc>
        <w:tc>
          <w:tcPr>
            <w:tcW w:w="0" w:type="dxa"/>
            <w:vAlign w:val="bottom"/>
          </w:tcPr>
          <w:p>
            <w:pPr>
              <w:spacing w:after="0"/>
              <w:rPr>
                <w:sz w:val="1"/>
                <w:szCs w:val="1"/>
                <w:color w:val="auto"/>
              </w:rPr>
            </w:pPr>
          </w:p>
        </w:tc>
      </w:tr>
      <w:tr>
        <w:trPr>
          <w:trHeight w:val="245"/>
        </w:trPr>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Balance Sheets as of December 31, 2025 and 2024</w:t>
            </w:r>
          </w:p>
        </w:tc>
        <w:tc>
          <w:tcPr>
            <w:tcW w:w="52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3"/>
              </w:rPr>
              <w:t>F-4</w:t>
            </w:r>
          </w:p>
        </w:tc>
        <w:tc>
          <w:tcPr>
            <w:tcW w:w="0" w:type="dxa"/>
            <w:vAlign w:val="bottom"/>
          </w:tcPr>
          <w:p>
            <w:pPr>
              <w:spacing w:after="0"/>
              <w:rPr>
                <w:sz w:val="1"/>
                <w:szCs w:val="1"/>
                <w:color w:val="auto"/>
              </w:rPr>
            </w:pPr>
          </w:p>
        </w:tc>
      </w:tr>
      <w:tr>
        <w:trPr>
          <w:trHeight w:val="245"/>
        </w:trPr>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Comprehensive Loss for the Years ended December 31, 2025 and 2024</w:t>
            </w:r>
          </w:p>
        </w:tc>
        <w:tc>
          <w:tcPr>
            <w:tcW w:w="52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3"/>
              </w:rPr>
              <w:t>F-5</w:t>
            </w:r>
          </w:p>
        </w:tc>
        <w:tc>
          <w:tcPr>
            <w:tcW w:w="0" w:type="dxa"/>
            <w:vAlign w:val="bottom"/>
          </w:tcPr>
          <w:p>
            <w:pPr>
              <w:spacing w:after="0"/>
              <w:rPr>
                <w:sz w:val="1"/>
                <w:szCs w:val="1"/>
                <w:color w:val="auto"/>
              </w:rPr>
            </w:pPr>
          </w:p>
        </w:tc>
      </w:tr>
      <w:tr>
        <w:trPr>
          <w:trHeight w:val="230"/>
        </w:trPr>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Changes in Permanent Equity (deficit) for the Years ended December 31, 2025</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w w:val="93"/>
              </w:rPr>
              <w:t>F-6</w:t>
            </w:r>
          </w:p>
        </w:tc>
        <w:tc>
          <w:tcPr>
            <w:tcW w:w="0" w:type="dxa"/>
            <w:vAlign w:val="bottom"/>
          </w:tcPr>
          <w:p>
            <w:pPr>
              <w:spacing w:after="0"/>
              <w:rPr>
                <w:sz w:val="1"/>
                <w:szCs w:val="1"/>
                <w:color w:val="auto"/>
              </w:rPr>
            </w:pPr>
          </w:p>
        </w:tc>
      </w:tr>
      <w:tr>
        <w:trPr>
          <w:trHeight w:val="151"/>
        </w:trPr>
        <w:tc>
          <w:tcPr>
            <w:tcW w:w="8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and 2024</w:t>
            </w: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88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 for the Years ended December 31, 2025 and 2024</w:t>
            </w:r>
          </w:p>
        </w:tc>
        <w:tc>
          <w:tcPr>
            <w:tcW w:w="52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3"/>
              </w:rPr>
              <w:t>F-8</w:t>
            </w:r>
          </w:p>
        </w:tc>
        <w:tc>
          <w:tcPr>
            <w:tcW w:w="0" w:type="dxa"/>
            <w:vAlign w:val="bottom"/>
          </w:tcPr>
          <w:p>
            <w:pPr>
              <w:spacing w:after="0"/>
              <w:rPr>
                <w:sz w:val="1"/>
                <w:szCs w:val="1"/>
                <w:color w:val="auto"/>
              </w:rPr>
            </w:pPr>
          </w:p>
        </w:tc>
      </w:tr>
      <w:tr>
        <w:trPr>
          <w:trHeight w:val="266"/>
        </w:trPr>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52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3"/>
              </w:rPr>
              <w:t>F-9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-1245235</wp:posOffset>
            </wp:positionV>
            <wp:extent cx="5943600" cy="12350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4">
                      <a:extLst>
                        <a:ext uri="{28A0092B-C50C-407E-A947-70E740481C1C}"/>
                      </a:extLst>
                    </a:blip>
                    <a:srcRect/>
                    <a:stretch>
                      <a:fillRect/>
                    </a:stretch>
                  </pic:blipFill>
                  <pic:spPr bwMode="auto">
                    <a:xfrm>
                      <a:off x="0" y="0"/>
                      <a:ext cx="5943600" cy="1235075"/>
                    </a:xfrm>
                    <a:prstGeom prst="rect">
                      <a:avLst/>
                    </a:prstGeom>
                    <a:noFill/>
                  </pic:spPr>
                </pic:pic>
              </a:graphicData>
            </a:graphic>
          </wp:anchor>
        </w:drawing>
      </w:r>
    </w:p>
    <w:p>
      <w:pPr>
        <w:sectPr>
          <w:pgSz w:w="12240" w:h="15840" w:orient="portrait"/>
          <w:cols w:equalWidth="0" w:num="1">
            <w:col w:w="9540"/>
          </w:cols>
          <w:pgMar w:left="1260" w:top="1236"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9540"/>
          </w:cols>
          <w:pgMar w:left="1260" w:top="1236" w:right="1440" w:bottom="355" w:gutter="0" w:footer="0" w:header="0"/>
          <w:type w:val="continuous"/>
        </w:sectPr>
      </w:pPr>
    </w:p>
    <w:bookmarkStart w:id="67" w:name="page68"/>
    <w:bookmarkEnd w:id="67"/>
    <w:p>
      <w:pPr>
        <w:ind w:left="12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 (PCAOB ID No. 688)</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Board of Directors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GEN Restaurant Group,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34" w:lineRule="exact"/>
        <w:rPr>
          <w:sz w:val="20"/>
          <w:szCs w:val="20"/>
          <w:color w:val="auto"/>
        </w:rPr>
      </w:pPr>
    </w:p>
    <w:p>
      <w:pPr>
        <w:jc w:val="both"/>
        <w:ind w:right="180"/>
        <w:spacing w:after="0" w:line="246"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GEN Restaurant Group, Inc. (the “Company”) as of December 31, 2024, the related consolidated statements of comprehensive loss, changes in permanent equity (deficit) and cash flows for the year ended December 31, 2024, and the related notes (collectively referred to as the “financial statements”). In our opinion,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44"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right="180"/>
        <w:spacing w:after="0" w:line="247"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0"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20"/>
          <w:szCs w:val="20"/>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Marcum LLP</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Marcum LLP</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from 2021 to 2025.</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Costa Mesa,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7, 2025</w:t>
      </w:r>
    </w:p>
    <w:p>
      <w:pPr>
        <w:sectPr>
          <w:pgSz w:w="12240" w:h="15840" w:orient="portrait"/>
          <w:cols w:equalWidth="0" w:num="1">
            <w:col w:w="9540"/>
          </w:cols>
          <w:pgMar w:left="1260" w:top="1236"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9540"/>
          </w:cols>
          <w:pgMar w:left="1260" w:top="1236" w:right="1440" w:bottom="355" w:gutter="0" w:footer="0" w:header="0"/>
          <w:type w:val="continuous"/>
        </w:sectPr>
      </w:pPr>
    </w:p>
    <w:bookmarkStart w:id="68" w:name="page69"/>
    <w:bookmarkEnd w:id="68"/>
    <w:p>
      <w:pPr>
        <w:ind w:left="12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 (PCAOB ID No. 688)</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Board of Directors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GEN Restaurant Group,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34" w:lineRule="exact"/>
        <w:rPr>
          <w:sz w:val="20"/>
          <w:szCs w:val="20"/>
          <w:color w:val="auto"/>
        </w:rPr>
      </w:pPr>
    </w:p>
    <w:p>
      <w:pPr>
        <w:ind w:right="300"/>
        <w:spacing w:after="0" w:line="247"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 of GEN Restaurant Group, Inc. (the “Company”) as of December 31, 2025, the related consolidated statements of comprehensive loss, changes in permanent equity (deficit) and cash flows for the year ended December 31, 2025, and the related notes (collectively referred to as the “financial statements”). In our opinion, the financial statements present fairly, in all material respects, the financial position of the Company as of December 31, 2025, in conformity with accounting principles generally accepted in the United States of America.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Opinion</w:t>
      </w:r>
    </w:p>
    <w:p>
      <w:pPr>
        <w:spacing w:after="0" w:line="234" w:lineRule="exact"/>
        <w:rPr>
          <w:sz w:val="20"/>
          <w:szCs w:val="20"/>
          <w:color w:val="auto"/>
        </w:rPr>
      </w:pPr>
    </w:p>
    <w:p>
      <w:pPr>
        <w:ind w:right="340"/>
        <w:spacing w:after="0" w:line="249"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right="180"/>
        <w:spacing w:after="0" w:line="247"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0" w:lineRule="exact"/>
        <w:rPr>
          <w:sz w:val="20"/>
          <w:szCs w:val="20"/>
          <w:color w:val="auto"/>
        </w:rPr>
      </w:pPr>
    </w:p>
    <w:p>
      <w:pPr>
        <w:jc w:val="both"/>
        <w:ind w:right="180"/>
        <w:spacing w:after="0" w:line="247" w:lineRule="auto"/>
        <w:rPr>
          <w:sz w:val="20"/>
          <w:szCs w:val="20"/>
          <w:color w:val="auto"/>
        </w:rPr>
      </w:pPr>
      <w:r>
        <w:rPr>
          <w:rFonts w:ascii="Times New Roman" w:cs="Times New Roman" w:eastAsia="Times New Roman" w:hAnsi="Times New Roman"/>
          <w:sz w:val="20"/>
          <w:szCs w:val="20"/>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CBIZ CPA</w:t>
      </w:r>
      <w:r>
        <w:rPr>
          <w:rFonts w:ascii="Times New Roman" w:cs="Times New Roman" w:eastAsia="Times New Roman" w:hAnsi="Times New Roman"/>
          <w:sz w:val="16"/>
          <w:szCs w:val="16"/>
          <w:color w:val="auto"/>
        </w:rPr>
        <w:t>S</w:t>
      </w:r>
      <w:r>
        <w:rPr>
          <w:rFonts w:ascii="Times New Roman" w:cs="Times New Roman" w:eastAsia="Times New Roman" w:hAnsi="Times New Roman"/>
          <w:sz w:val="20"/>
          <w:szCs w:val="20"/>
          <w:color w:val="auto"/>
        </w:rPr>
        <w:t xml:space="preserve"> P.C.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CBIZ CPAs P.C.</w:t>
      </w:r>
    </w:p>
    <w:p>
      <w:pPr>
        <w:spacing w:after="0" w:line="246" w:lineRule="exact"/>
        <w:rPr>
          <w:sz w:val="20"/>
          <w:szCs w:val="20"/>
          <w:color w:val="auto"/>
        </w:rPr>
      </w:pPr>
    </w:p>
    <w:p>
      <w:pPr>
        <w:jc w:val="both"/>
        <w:ind w:right="180"/>
        <w:spacing w:after="0" w:line="277" w:lineRule="auto"/>
        <w:rPr>
          <w:sz w:val="20"/>
          <w:szCs w:val="20"/>
          <w:color w:val="auto"/>
        </w:rPr>
      </w:pPr>
      <w:r>
        <w:rPr>
          <w:rFonts w:ascii="Times New Roman" w:cs="Times New Roman" w:eastAsia="Times New Roman" w:hAnsi="Times New Roman"/>
          <w:sz w:val="20"/>
          <w:szCs w:val="20"/>
          <w:color w:val="auto"/>
        </w:rPr>
        <w:t>We have served as the Company’s auditor since 2021 (such date takes into account the acquisition of the attest business of Marcum LLP by CBIZ CPAs P.C. effective November 1,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Costa Mesa,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31, 2026</w:t>
      </w:r>
    </w:p>
    <w:p>
      <w:pPr>
        <w:sectPr>
          <w:pgSz w:w="12240" w:h="15840" w:orient="portrait"/>
          <w:cols w:equalWidth="0" w:num="1">
            <w:col w:w="9540"/>
          </w:cols>
          <w:pgMar w:left="1260" w:top="1236"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9540"/>
          </w:cols>
          <w:pgMar w:left="1260" w:top="1236" w:right="1440" w:bottom="355"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color w:val="auto"/>
        </w:rPr>
        <w:t>PART I—FINANCIAL INFORMATION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r>
        <w:rPr>
          <w:rFonts w:ascii="Times New Roman" w:cs="Times New Roman" w:eastAsia="Times New Roman" w:hAnsi="Times New Roman"/>
          <w:sz w:val="18"/>
          <w:szCs w:val="18"/>
          <w:b w:val="1"/>
          <w:bCs w:val="1"/>
          <w:color w:val="auto"/>
        </w:rPr>
        <w:t>.</w:t>
      </w:r>
    </w:p>
    <w:p>
      <w:pPr>
        <w:jc w:val="center"/>
        <w:spacing w:after="0" w:line="238" w:lineRule="auto"/>
        <w:rPr>
          <w:sz w:val="20"/>
          <w:szCs w:val="20"/>
          <w:color w:val="auto"/>
        </w:rPr>
      </w:pPr>
      <w:r>
        <w:rPr>
          <w:rFonts w:ascii="Times New Roman" w:cs="Times New Roman" w:eastAsia="Times New Roman" w:hAnsi="Times New Roman"/>
          <w:sz w:val="20"/>
          <w:szCs w:val="20"/>
          <w:b w:val="1"/>
          <w:bCs w:val="1"/>
          <w:color w:val="292929"/>
        </w:rPr>
        <w:t>GEN RESTAURANT GROUP,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92929"/>
        </w:rPr>
        <w:t>Consolidated Balance Sheets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information)</w:t>
            </w:r>
          </w:p>
        </w:tc>
        <w:tc>
          <w:tcPr>
            <w:tcW w:w="180" w:type="dxa"/>
            <w:vAlign w:val="bottom"/>
          </w:tcPr>
          <w:p>
            <w:pPr>
              <w:spacing w:after="0"/>
              <w:rPr>
                <w:sz w:val="16"/>
                <w:szCs w:val="16"/>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4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2"/>
        </w:trPr>
        <w:tc>
          <w:tcPr>
            <w:tcW w:w="752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5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rPr>
              <w:t>Current assets:</w:t>
            </w:r>
          </w:p>
        </w:tc>
        <w:tc>
          <w:tcPr>
            <w:tcW w:w="180" w:type="dxa"/>
            <w:vAlign w:val="bottom"/>
            <w:shd w:val="clear" w:color="auto" w:fill="EAEAEA"/>
          </w:tcPr>
          <w:p>
            <w:pPr>
              <w:spacing w:after="0"/>
              <w:rPr>
                <w:sz w:val="21"/>
                <w:szCs w:val="21"/>
                <w:color w:val="auto"/>
              </w:rPr>
            </w:pPr>
          </w:p>
        </w:tc>
        <w:tc>
          <w:tcPr>
            <w:tcW w:w="1120" w:type="dxa"/>
            <w:vAlign w:val="bottom"/>
            <w:shd w:val="clear" w:color="auto" w:fill="EAEAEA"/>
          </w:tcPr>
          <w:p>
            <w:pPr>
              <w:spacing w:after="0"/>
              <w:rPr>
                <w:sz w:val="21"/>
                <w:szCs w:val="21"/>
                <w:color w:val="auto"/>
              </w:rPr>
            </w:pPr>
          </w:p>
        </w:tc>
        <w:tc>
          <w:tcPr>
            <w:tcW w:w="26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1180" w:type="dxa"/>
            <w:vAlign w:val="bottom"/>
            <w:shd w:val="clear" w:color="auto" w:fill="EAEAEA"/>
          </w:tcPr>
          <w:p>
            <w:pPr>
              <w:spacing w:after="0"/>
              <w:rPr>
                <w:sz w:val="21"/>
                <w:szCs w:val="21"/>
                <w:color w:val="auto"/>
              </w:rPr>
            </w:pPr>
          </w:p>
        </w:tc>
        <w:tc>
          <w:tcPr>
            <w:tcW w:w="6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2,824</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23,675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Inventories</w:t>
            </w:r>
          </w:p>
        </w:tc>
        <w:tc>
          <w:tcPr>
            <w:tcW w:w="180" w:type="dxa"/>
            <w:vAlign w:val="bottom"/>
            <w:shd w:val="clear" w:color="auto" w:fill="EAEAEA"/>
          </w:tcPr>
          <w:p>
            <w:pPr>
              <w:spacing w:after="0"/>
              <w:rPr>
                <w:sz w:val="21"/>
                <w:szCs w:val="21"/>
                <w:color w:val="auto"/>
              </w:rPr>
            </w:pPr>
          </w:p>
        </w:tc>
        <w:tc>
          <w:tcPr>
            <w:tcW w:w="11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1,212</w:t>
            </w:r>
          </w:p>
        </w:tc>
        <w:tc>
          <w:tcPr>
            <w:tcW w:w="26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11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727</w:t>
            </w:r>
          </w:p>
        </w:tc>
        <w:tc>
          <w:tcPr>
            <w:tcW w:w="6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receivable</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10,422</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Income tax receivable</w:t>
            </w:r>
          </w:p>
        </w:tc>
        <w:tc>
          <w:tcPr>
            <w:tcW w:w="180" w:type="dxa"/>
            <w:vAlign w:val="bottom"/>
            <w:shd w:val="clear" w:color="auto" w:fill="EAEAEA"/>
          </w:tcPr>
          <w:p>
            <w:pPr>
              <w:spacing w:after="0"/>
              <w:rPr>
                <w:sz w:val="21"/>
                <w:szCs w:val="21"/>
                <w:color w:val="auto"/>
              </w:rPr>
            </w:pPr>
          </w:p>
        </w:tc>
        <w:tc>
          <w:tcPr>
            <w:tcW w:w="11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742</w:t>
            </w:r>
          </w:p>
        </w:tc>
        <w:tc>
          <w:tcPr>
            <w:tcW w:w="26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1240" w:type="dxa"/>
            <w:vAlign w:val="bottom"/>
            <w:gridSpan w:val="2"/>
            <w:shd w:val="clear" w:color="auto" w:fill="EAEAEA"/>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3"/>
        </w:trPr>
        <w:tc>
          <w:tcPr>
            <w:tcW w:w="7520" w:type="dxa"/>
            <w:vAlign w:val="bottom"/>
            <w:tcBorders>
              <w:bottom w:val="single" w:sz="8" w:color="EAEAEA"/>
            </w:tcBorders>
          </w:tcPr>
          <w:p>
            <w:pPr>
              <w:ind w:left="2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7,546</w:t>
            </w:r>
          </w:p>
        </w:tc>
        <w:tc>
          <w:tcPr>
            <w:tcW w:w="260" w:type="dxa"/>
            <w:vAlign w:val="bottom"/>
            <w:tcBorders>
              <w:bottom w:val="single" w:sz="8" w:color="EAEAEA"/>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6,004</w:t>
            </w:r>
          </w:p>
        </w:tc>
        <w:tc>
          <w:tcPr>
            <w:tcW w:w="60" w:type="dxa"/>
            <w:vAlign w:val="bottom"/>
            <w:tcBorders>
              <w:bottom w:val="single" w:sz="8" w:color="EAEAEA"/>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5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rPr>
              <w:t>Total current assets</w:t>
            </w:r>
          </w:p>
        </w:tc>
        <w:tc>
          <w:tcPr>
            <w:tcW w:w="180" w:type="dxa"/>
            <w:vAlign w:val="bottom"/>
            <w:shd w:val="clear" w:color="auto" w:fill="EAEAEA"/>
          </w:tcPr>
          <w:p>
            <w:pPr>
              <w:spacing w:after="0"/>
              <w:rPr>
                <w:sz w:val="20"/>
                <w:szCs w:val="20"/>
                <w:color w:val="auto"/>
              </w:rPr>
            </w:pPr>
          </w:p>
        </w:tc>
        <w:tc>
          <w:tcPr>
            <w:tcW w:w="11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22,746</w:t>
            </w:r>
          </w:p>
        </w:tc>
        <w:tc>
          <w:tcPr>
            <w:tcW w:w="26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11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33,893</w:t>
            </w:r>
          </w:p>
        </w:tc>
        <w:tc>
          <w:tcPr>
            <w:tcW w:w="6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65,747</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52,639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Goodwill</w:t>
            </w:r>
          </w:p>
        </w:tc>
        <w:tc>
          <w:tcPr>
            <w:tcW w:w="180" w:type="dxa"/>
            <w:vAlign w:val="bottom"/>
            <w:shd w:val="clear" w:color="auto" w:fill="EAEAEA"/>
          </w:tcPr>
          <w:p>
            <w:pPr>
              <w:spacing w:after="0"/>
              <w:rPr>
                <w:sz w:val="21"/>
                <w:szCs w:val="21"/>
                <w:color w:val="auto"/>
              </w:rPr>
            </w:pPr>
          </w:p>
        </w:tc>
        <w:tc>
          <w:tcPr>
            <w:tcW w:w="11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9,498</w:t>
            </w:r>
          </w:p>
        </w:tc>
        <w:tc>
          <w:tcPr>
            <w:tcW w:w="26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11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9,498</w:t>
            </w:r>
          </w:p>
        </w:tc>
        <w:tc>
          <w:tcPr>
            <w:tcW w:w="6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lease assets, net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146,473</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131,542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Deferred tax asset</w:t>
            </w:r>
          </w:p>
        </w:tc>
        <w:tc>
          <w:tcPr>
            <w:tcW w:w="180" w:type="dxa"/>
            <w:vAlign w:val="bottom"/>
            <w:shd w:val="clear" w:color="auto" w:fill="EAEAEA"/>
          </w:tcPr>
          <w:p>
            <w:pPr>
              <w:spacing w:after="0"/>
              <w:rPr>
                <w:sz w:val="21"/>
                <w:szCs w:val="21"/>
                <w:color w:val="auto"/>
              </w:rPr>
            </w:pPr>
          </w:p>
        </w:tc>
        <w:tc>
          <w:tcPr>
            <w:tcW w:w="11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13,009</w:t>
            </w:r>
          </w:p>
        </w:tc>
        <w:tc>
          <w:tcPr>
            <w:tcW w:w="26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11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11,686</w:t>
            </w:r>
          </w:p>
        </w:tc>
        <w:tc>
          <w:tcPr>
            <w:tcW w:w="6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tcBorders>
              <w:bottom w:val="single" w:sz="8" w:color="EAEAEA"/>
            </w:tcBorders>
          </w:tcPr>
          <w:p>
            <w:pPr>
              <w:ind w:left="200"/>
              <w:spacing w:after="0"/>
              <w:rPr>
                <w:sz w:val="20"/>
                <w:szCs w:val="20"/>
                <w:color w:val="auto"/>
              </w:rPr>
            </w:pPr>
            <w:r>
              <w:rPr>
                <w:rFonts w:ascii="Times New Roman" w:cs="Times New Roman" w:eastAsia="Times New Roman" w:hAnsi="Times New Roman"/>
                <w:sz w:val="20"/>
                <w:szCs w:val="20"/>
                <w:color w:val="auto"/>
              </w:rPr>
              <w:t>Other assets</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2,383</w:t>
            </w:r>
          </w:p>
        </w:tc>
        <w:tc>
          <w:tcPr>
            <w:tcW w:w="260" w:type="dxa"/>
            <w:vAlign w:val="bottom"/>
            <w:tcBorders>
              <w:bottom w:val="single" w:sz="8" w:color="EAEAEA"/>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1,157</w:t>
            </w:r>
          </w:p>
        </w:tc>
        <w:tc>
          <w:tcPr>
            <w:tcW w:w="60" w:type="dxa"/>
            <w:vAlign w:val="bottom"/>
            <w:tcBorders>
              <w:bottom w:val="single" w:sz="8" w:color="EAEAEA"/>
            </w:tcBorders>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7520" w:type="dxa"/>
            <w:vAlign w:val="bottom"/>
            <w:tcBorders>
              <w:bottom w:val="single" w:sz="8" w:color="EAEAEA"/>
            </w:tcBorders>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18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259,856</w:t>
            </w:r>
          </w:p>
        </w:tc>
        <w:tc>
          <w:tcPr>
            <w:tcW w:w="260" w:type="dxa"/>
            <w:vAlign w:val="bottom"/>
            <w:tcBorders>
              <w:bottom w:val="single" w:sz="8" w:color="EAEAEA"/>
            </w:tcBorders>
            <w:shd w:val="clear" w:color="auto" w:fill="EAEAEA"/>
          </w:tcPr>
          <w:p>
            <w:pPr>
              <w:spacing w:after="0"/>
              <w:rPr>
                <w:sz w:val="22"/>
                <w:szCs w:val="22"/>
                <w:color w:val="auto"/>
              </w:rPr>
            </w:pPr>
          </w:p>
        </w:tc>
        <w:tc>
          <w:tcPr>
            <w:tcW w:w="14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240,415</w:t>
            </w:r>
          </w:p>
        </w:tc>
        <w:tc>
          <w:tcPr>
            <w:tcW w:w="60" w:type="dxa"/>
            <w:vAlign w:val="bottom"/>
            <w:tcBorders>
              <w:bottom w:val="single" w:sz="8" w:color="EAEAEA"/>
            </w:tcBorders>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7520" w:type="dxa"/>
            <w:vAlign w:val="bottom"/>
          </w:tcPr>
          <w:p>
            <w:pPr>
              <w:spacing w:after="0" w:line="218" w:lineRule="exact"/>
              <w:rPr>
                <w:sz w:val="20"/>
                <w:szCs w:val="20"/>
                <w:color w:val="auto"/>
              </w:rPr>
            </w:pPr>
            <w:r>
              <w:rPr>
                <w:rFonts w:ascii="Times New Roman" w:cs="Times New Roman" w:eastAsia="Times New Roman" w:hAnsi="Times New Roman"/>
                <w:sz w:val="20"/>
                <w:szCs w:val="20"/>
                <w:b w:val="1"/>
                <w:bCs w:val="1"/>
                <w:color w:val="auto"/>
              </w:rPr>
              <w:t>Liabilities and equity</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5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180" w:type="dxa"/>
            <w:vAlign w:val="bottom"/>
            <w:shd w:val="clear" w:color="auto" w:fill="EAEAEA"/>
          </w:tcPr>
          <w:p>
            <w:pPr>
              <w:spacing w:after="0"/>
              <w:rPr>
                <w:sz w:val="21"/>
                <w:szCs w:val="21"/>
                <w:color w:val="auto"/>
              </w:rPr>
            </w:pPr>
          </w:p>
        </w:tc>
        <w:tc>
          <w:tcPr>
            <w:tcW w:w="1120" w:type="dxa"/>
            <w:vAlign w:val="bottom"/>
            <w:shd w:val="clear" w:color="auto" w:fill="EAEAEA"/>
          </w:tcPr>
          <w:p>
            <w:pPr>
              <w:spacing w:after="0"/>
              <w:rPr>
                <w:sz w:val="21"/>
                <w:szCs w:val="21"/>
                <w:color w:val="auto"/>
              </w:rPr>
            </w:pPr>
          </w:p>
        </w:tc>
        <w:tc>
          <w:tcPr>
            <w:tcW w:w="26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1180" w:type="dxa"/>
            <w:vAlign w:val="bottom"/>
            <w:shd w:val="clear" w:color="auto" w:fill="EAEAEA"/>
          </w:tcPr>
          <w:p>
            <w:pPr>
              <w:spacing w:after="0"/>
              <w:rPr>
                <w:sz w:val="21"/>
                <w:szCs w:val="21"/>
                <w:color w:val="auto"/>
              </w:rPr>
            </w:pPr>
          </w:p>
        </w:tc>
        <w:tc>
          <w:tcPr>
            <w:tcW w:w="6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payable</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14,822</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12,408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Accrued salaries and benefits</w:t>
            </w:r>
          </w:p>
        </w:tc>
        <w:tc>
          <w:tcPr>
            <w:tcW w:w="180" w:type="dxa"/>
            <w:vAlign w:val="bottom"/>
            <w:shd w:val="clear" w:color="auto" w:fill="EAEAEA"/>
          </w:tcPr>
          <w:p>
            <w:pPr>
              <w:spacing w:after="0"/>
              <w:rPr>
                <w:sz w:val="21"/>
                <w:szCs w:val="21"/>
                <w:color w:val="auto"/>
              </w:rPr>
            </w:pPr>
          </w:p>
        </w:tc>
        <w:tc>
          <w:tcPr>
            <w:tcW w:w="11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2,450</w:t>
            </w:r>
          </w:p>
        </w:tc>
        <w:tc>
          <w:tcPr>
            <w:tcW w:w="26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11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3,243</w:t>
            </w:r>
          </w:p>
        </w:tc>
        <w:tc>
          <w:tcPr>
            <w:tcW w:w="6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interest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Notes payable, current</w:t>
            </w:r>
          </w:p>
        </w:tc>
        <w:tc>
          <w:tcPr>
            <w:tcW w:w="180" w:type="dxa"/>
            <w:vAlign w:val="bottom"/>
            <w:shd w:val="clear" w:color="auto" w:fill="EAEAEA"/>
          </w:tcPr>
          <w:p>
            <w:pPr>
              <w:spacing w:after="0"/>
              <w:rPr>
                <w:sz w:val="21"/>
                <w:szCs w:val="21"/>
                <w:color w:val="auto"/>
              </w:rPr>
            </w:pPr>
          </w:p>
        </w:tc>
        <w:tc>
          <w:tcPr>
            <w:tcW w:w="11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2,812</w:t>
            </w:r>
          </w:p>
        </w:tc>
        <w:tc>
          <w:tcPr>
            <w:tcW w:w="26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11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1,724</w:t>
            </w:r>
          </w:p>
        </w:tc>
        <w:tc>
          <w:tcPr>
            <w:tcW w:w="6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Line of credit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Obligations under finance leases, current</w:t>
            </w:r>
          </w:p>
        </w:tc>
        <w:tc>
          <w:tcPr>
            <w:tcW w:w="180" w:type="dxa"/>
            <w:vAlign w:val="bottom"/>
            <w:shd w:val="clear" w:color="auto" w:fill="EAEAEA"/>
          </w:tcPr>
          <w:p>
            <w:pPr>
              <w:spacing w:after="0"/>
              <w:rPr>
                <w:sz w:val="21"/>
                <w:szCs w:val="21"/>
                <w:color w:val="auto"/>
              </w:rPr>
            </w:pPr>
          </w:p>
        </w:tc>
        <w:tc>
          <w:tcPr>
            <w:tcW w:w="11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6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11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6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lease liabilities, current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6,707</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5,221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Deferred Restaurant Revitalization Fund grant</w:t>
            </w:r>
          </w:p>
        </w:tc>
        <w:tc>
          <w:tcPr>
            <w:tcW w:w="180" w:type="dxa"/>
            <w:vAlign w:val="bottom"/>
            <w:shd w:val="clear" w:color="auto" w:fill="EAEAEA"/>
          </w:tcPr>
          <w:p>
            <w:pPr>
              <w:spacing w:after="0"/>
              <w:rPr>
                <w:sz w:val="21"/>
                <w:szCs w:val="21"/>
                <w:color w:val="auto"/>
              </w:rPr>
            </w:pPr>
          </w:p>
        </w:tc>
        <w:tc>
          <w:tcPr>
            <w:tcW w:w="11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3,806</w:t>
            </w:r>
          </w:p>
        </w:tc>
        <w:tc>
          <w:tcPr>
            <w:tcW w:w="26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11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3,806</w:t>
            </w:r>
          </w:p>
        </w:tc>
        <w:tc>
          <w:tcPr>
            <w:tcW w:w="6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Gift card liabilities</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14,669</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520" w:type="dxa"/>
            <w:vAlign w:val="bottom"/>
            <w:tcBorders>
              <w:bottom w:val="single" w:sz="8" w:color="EAEAEA"/>
            </w:tcBorders>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180" w:type="dxa"/>
            <w:vAlign w:val="bottom"/>
            <w:tcBorders>
              <w:bottom w:val="single" w:sz="8" w:color="auto"/>
            </w:tcBorders>
            <w:shd w:val="clear" w:color="auto" w:fill="EAEAEA"/>
          </w:tcPr>
          <w:p>
            <w:pPr>
              <w:spacing w:after="0"/>
              <w:rPr>
                <w:sz w:val="22"/>
                <w:szCs w:val="22"/>
                <w:color w:val="auto"/>
              </w:rPr>
            </w:pPr>
          </w:p>
        </w:tc>
        <w:tc>
          <w:tcPr>
            <w:tcW w:w="112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7,723</w:t>
            </w:r>
          </w:p>
        </w:tc>
        <w:tc>
          <w:tcPr>
            <w:tcW w:w="260" w:type="dxa"/>
            <w:vAlign w:val="bottom"/>
            <w:tcBorders>
              <w:bottom w:val="single" w:sz="8" w:color="EAEAEA"/>
            </w:tcBorders>
            <w:shd w:val="clear" w:color="auto" w:fill="EAEAEA"/>
          </w:tcPr>
          <w:p>
            <w:pPr>
              <w:spacing w:after="0"/>
              <w:rPr>
                <w:sz w:val="22"/>
                <w:szCs w:val="22"/>
                <w:color w:val="auto"/>
              </w:rPr>
            </w:pPr>
          </w:p>
        </w:tc>
        <w:tc>
          <w:tcPr>
            <w:tcW w:w="140" w:type="dxa"/>
            <w:vAlign w:val="bottom"/>
            <w:tcBorders>
              <w:bottom w:val="single" w:sz="8" w:color="auto"/>
            </w:tcBorders>
            <w:shd w:val="clear" w:color="auto" w:fill="EAEAEA"/>
          </w:tcPr>
          <w:p>
            <w:pPr>
              <w:spacing w:after="0"/>
              <w:rPr>
                <w:sz w:val="22"/>
                <w:szCs w:val="22"/>
                <w:color w:val="auto"/>
              </w:rPr>
            </w:pPr>
          </w:p>
        </w:tc>
        <w:tc>
          <w:tcPr>
            <w:tcW w:w="118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5,598</w:t>
            </w:r>
          </w:p>
        </w:tc>
        <w:tc>
          <w:tcPr>
            <w:tcW w:w="60" w:type="dxa"/>
            <w:vAlign w:val="bottom"/>
            <w:tcBorders>
              <w:bottom w:val="single" w:sz="8" w:color="EAEAEA"/>
            </w:tcBorders>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7520" w:type="dxa"/>
            <w:vAlign w:val="bottom"/>
          </w:tcPr>
          <w:p>
            <w:pPr>
              <w:spacing w:after="0" w:line="218" w:lineRule="exact"/>
              <w:rPr>
                <w:sz w:val="20"/>
                <w:szCs w:val="20"/>
                <w:color w:val="auto"/>
              </w:rPr>
            </w:pPr>
            <w:r>
              <w:rPr>
                <w:rFonts w:ascii="Times New Roman" w:cs="Times New Roman" w:eastAsia="Times New Roman" w:hAnsi="Times New Roman"/>
                <w:sz w:val="20"/>
                <w:szCs w:val="20"/>
                <w:b w:val="1"/>
                <w:bCs w:val="1"/>
                <w:color w:val="auto"/>
              </w:rPr>
              <w:t>Total current liabilities</w:t>
            </w:r>
          </w:p>
        </w:tc>
        <w:tc>
          <w:tcPr>
            <w:tcW w:w="180" w:type="dxa"/>
            <w:vAlign w:val="bottom"/>
          </w:tcPr>
          <w:p>
            <w:pPr>
              <w:spacing w:after="0"/>
              <w:rPr>
                <w:sz w:val="18"/>
                <w:szCs w:val="18"/>
                <w:color w:val="auto"/>
              </w:rPr>
            </w:pPr>
          </w:p>
        </w:tc>
        <w:tc>
          <w:tcPr>
            <w:tcW w:w="112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54,074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41,069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52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Notes payable, net of current portion</w:t>
            </w:r>
          </w:p>
        </w:tc>
        <w:tc>
          <w:tcPr>
            <w:tcW w:w="180" w:type="dxa"/>
            <w:vAlign w:val="bottom"/>
            <w:shd w:val="clear" w:color="auto" w:fill="EAEAEA"/>
          </w:tcPr>
          <w:p>
            <w:pPr>
              <w:spacing w:after="0"/>
              <w:rPr>
                <w:sz w:val="21"/>
                <w:szCs w:val="21"/>
                <w:color w:val="auto"/>
              </w:rPr>
            </w:pPr>
          </w:p>
        </w:tc>
        <w:tc>
          <w:tcPr>
            <w:tcW w:w="11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10,795</w:t>
            </w:r>
          </w:p>
        </w:tc>
        <w:tc>
          <w:tcPr>
            <w:tcW w:w="26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11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5,140</w:t>
            </w:r>
          </w:p>
        </w:tc>
        <w:tc>
          <w:tcPr>
            <w:tcW w:w="6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Tax receivable agreement liability</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1,088</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Obligations under finance leases, net of current</w:t>
            </w:r>
          </w:p>
        </w:tc>
        <w:tc>
          <w:tcPr>
            <w:tcW w:w="180" w:type="dxa"/>
            <w:vAlign w:val="bottom"/>
            <w:shd w:val="clear" w:color="auto" w:fill="EAEAEA"/>
          </w:tcPr>
          <w:p>
            <w:pPr>
              <w:spacing w:after="0"/>
              <w:rPr>
                <w:sz w:val="21"/>
                <w:szCs w:val="21"/>
                <w:color w:val="auto"/>
              </w:rPr>
            </w:pPr>
          </w:p>
        </w:tc>
        <w:tc>
          <w:tcPr>
            <w:tcW w:w="11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6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1240" w:type="dxa"/>
            <w:vAlign w:val="bottom"/>
            <w:gridSpan w:val="2"/>
            <w:shd w:val="clear" w:color="auto" w:fill="EAEAEA"/>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3"/>
        </w:trPr>
        <w:tc>
          <w:tcPr>
            <w:tcW w:w="7520" w:type="dxa"/>
            <w:vAlign w:val="bottom"/>
            <w:tcBorders>
              <w:bottom w:val="single" w:sz="8" w:color="EAEAEA"/>
            </w:tcBorders>
          </w:tcPr>
          <w:p>
            <w:pPr>
              <w:ind w:left="200"/>
              <w:spacing w:after="0"/>
              <w:rPr>
                <w:sz w:val="20"/>
                <w:szCs w:val="20"/>
                <w:color w:val="auto"/>
              </w:rPr>
            </w:pPr>
            <w:r>
              <w:rPr>
                <w:rFonts w:ascii="Times New Roman" w:cs="Times New Roman" w:eastAsia="Times New Roman" w:hAnsi="Times New Roman"/>
                <w:sz w:val="20"/>
                <w:szCs w:val="20"/>
                <w:color w:val="auto"/>
              </w:rPr>
              <w:t>Operating lease liabilities, net of current portion</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165,879</w:t>
            </w:r>
          </w:p>
        </w:tc>
        <w:tc>
          <w:tcPr>
            <w:tcW w:w="260" w:type="dxa"/>
            <w:vAlign w:val="bottom"/>
            <w:tcBorders>
              <w:bottom w:val="single" w:sz="8" w:color="EAEAEA"/>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147,898</w:t>
            </w:r>
          </w:p>
        </w:tc>
        <w:tc>
          <w:tcPr>
            <w:tcW w:w="60" w:type="dxa"/>
            <w:vAlign w:val="bottom"/>
            <w:tcBorders>
              <w:bottom w:val="single" w:sz="8" w:color="EAEAEA"/>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5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180" w:type="dxa"/>
            <w:vAlign w:val="bottom"/>
            <w:shd w:val="clear" w:color="auto" w:fill="EAEAEA"/>
          </w:tcPr>
          <w:p>
            <w:pPr>
              <w:spacing w:after="0"/>
              <w:rPr>
                <w:sz w:val="20"/>
                <w:szCs w:val="20"/>
                <w:color w:val="auto"/>
              </w:rPr>
            </w:pPr>
          </w:p>
        </w:tc>
        <w:tc>
          <w:tcPr>
            <w:tcW w:w="11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231,850</w:t>
            </w:r>
          </w:p>
        </w:tc>
        <w:tc>
          <w:tcPr>
            <w:tcW w:w="26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11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194,798</w:t>
            </w:r>
          </w:p>
        </w:tc>
        <w:tc>
          <w:tcPr>
            <w:tcW w:w="6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Commitments and contingencies (Note 11)</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rPr>
              <w:t>Mezzanine equity</w:t>
            </w:r>
          </w:p>
        </w:tc>
        <w:tc>
          <w:tcPr>
            <w:tcW w:w="180" w:type="dxa"/>
            <w:vAlign w:val="bottom"/>
            <w:shd w:val="clear" w:color="auto" w:fill="EAEAEA"/>
          </w:tcPr>
          <w:p>
            <w:pPr>
              <w:spacing w:after="0"/>
              <w:rPr>
                <w:sz w:val="21"/>
                <w:szCs w:val="21"/>
                <w:color w:val="auto"/>
              </w:rPr>
            </w:pPr>
          </w:p>
        </w:tc>
        <w:tc>
          <w:tcPr>
            <w:tcW w:w="1120" w:type="dxa"/>
            <w:vAlign w:val="bottom"/>
            <w:shd w:val="clear" w:color="auto" w:fill="EAEAEA"/>
          </w:tcPr>
          <w:p>
            <w:pPr>
              <w:spacing w:after="0"/>
              <w:rPr>
                <w:sz w:val="21"/>
                <w:szCs w:val="21"/>
                <w:color w:val="auto"/>
              </w:rPr>
            </w:pPr>
          </w:p>
        </w:tc>
        <w:tc>
          <w:tcPr>
            <w:tcW w:w="26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1180" w:type="dxa"/>
            <w:vAlign w:val="bottom"/>
            <w:shd w:val="clear" w:color="auto" w:fill="EAEAEA"/>
          </w:tcPr>
          <w:p>
            <w:pPr>
              <w:spacing w:after="0"/>
              <w:rPr>
                <w:sz w:val="21"/>
                <w:szCs w:val="21"/>
                <w:color w:val="auto"/>
              </w:rPr>
            </w:pPr>
          </w:p>
        </w:tc>
        <w:tc>
          <w:tcPr>
            <w:tcW w:w="6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7520" w:type="dxa"/>
            <w:vAlign w:val="bottom"/>
          </w:tcPr>
          <w:p>
            <w:pPr>
              <w:ind w:left="400"/>
              <w:spacing w:after="0" w:line="192" w:lineRule="exact"/>
              <w:rPr>
                <w:sz w:val="20"/>
                <w:szCs w:val="20"/>
                <w:color w:val="auto"/>
              </w:rPr>
            </w:pPr>
            <w:r>
              <w:rPr>
                <w:rFonts w:ascii="Times New Roman" w:cs="Times New Roman" w:eastAsia="Times New Roman" w:hAnsi="Times New Roman"/>
                <w:sz w:val="17"/>
                <w:szCs w:val="17"/>
                <w:color w:val="auto"/>
              </w:rPr>
              <w:t>EB-5 Members’ equity; Redeemable units for 30% of Gen Restaurant Investment, LLC,</w:t>
            </w:r>
          </w:p>
        </w:tc>
        <w:tc>
          <w:tcPr>
            <w:tcW w:w="18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1,500</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5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redemption amount of $1,500 as of December 31, 2025 and December 31, 2024.</w:t>
            </w:r>
          </w:p>
        </w:tc>
        <w:tc>
          <w:tcPr>
            <w:tcW w:w="1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5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rPr>
              <w:t>Permanent equity</w:t>
            </w:r>
          </w:p>
        </w:tc>
        <w:tc>
          <w:tcPr>
            <w:tcW w:w="180" w:type="dxa"/>
            <w:vAlign w:val="bottom"/>
            <w:shd w:val="clear" w:color="auto" w:fill="EAEAEA"/>
          </w:tcPr>
          <w:p>
            <w:pPr>
              <w:spacing w:after="0"/>
              <w:rPr>
                <w:sz w:val="21"/>
                <w:szCs w:val="21"/>
                <w:color w:val="auto"/>
              </w:rPr>
            </w:pPr>
          </w:p>
        </w:tc>
        <w:tc>
          <w:tcPr>
            <w:tcW w:w="1120" w:type="dxa"/>
            <w:vAlign w:val="bottom"/>
            <w:shd w:val="clear" w:color="auto" w:fill="EAEAEA"/>
          </w:tcPr>
          <w:p>
            <w:pPr>
              <w:spacing w:after="0"/>
              <w:rPr>
                <w:sz w:val="21"/>
                <w:szCs w:val="21"/>
                <w:color w:val="auto"/>
              </w:rPr>
            </w:pPr>
          </w:p>
        </w:tc>
        <w:tc>
          <w:tcPr>
            <w:tcW w:w="26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1180" w:type="dxa"/>
            <w:vAlign w:val="bottom"/>
            <w:shd w:val="clear" w:color="auto" w:fill="EAEAEA"/>
          </w:tcPr>
          <w:p>
            <w:pPr>
              <w:spacing w:after="0"/>
              <w:rPr>
                <w:sz w:val="21"/>
                <w:szCs w:val="21"/>
                <w:color w:val="auto"/>
              </w:rPr>
            </w:pPr>
          </w:p>
        </w:tc>
        <w:tc>
          <w:tcPr>
            <w:tcW w:w="6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7520" w:type="dxa"/>
            <w:vAlign w:val="bottom"/>
          </w:tcPr>
          <w:p>
            <w:pPr>
              <w:ind w:left="400"/>
              <w:spacing w:after="0" w:line="192" w:lineRule="exact"/>
              <w:rPr>
                <w:sz w:val="20"/>
                <w:szCs w:val="20"/>
                <w:color w:val="auto"/>
              </w:rPr>
            </w:pPr>
            <w:r>
              <w:rPr>
                <w:rFonts w:ascii="Times New Roman" w:cs="Times New Roman" w:eastAsia="Times New Roman" w:hAnsi="Times New Roman"/>
                <w:sz w:val="17"/>
                <w:szCs w:val="17"/>
                <w:color w:val="auto"/>
              </w:rPr>
              <w:t>Class A common stock, $0.001 par value, 70,000,000 shares authorized, 5,265,565 shares issued</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5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and outstanding and 4,913,064 shares issued and outstanding as of December 31, 2025 and December</w:t>
            </w:r>
          </w:p>
        </w:tc>
        <w:tc>
          <w:tcPr>
            <w:tcW w:w="18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5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31, 2024, respectively</w:t>
            </w:r>
          </w:p>
        </w:tc>
        <w:tc>
          <w:tcPr>
            <w:tcW w:w="1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520" w:type="dxa"/>
            <w:vAlign w:val="bottom"/>
            <w:shd w:val="clear" w:color="auto" w:fill="EAEAEA"/>
          </w:tcPr>
          <w:p>
            <w:pPr>
              <w:ind w:left="400"/>
              <w:spacing w:after="0" w:line="192" w:lineRule="exact"/>
              <w:rPr>
                <w:sz w:val="20"/>
                <w:szCs w:val="20"/>
                <w:color w:val="auto"/>
              </w:rPr>
            </w:pPr>
            <w:r>
              <w:rPr>
                <w:rFonts w:ascii="Times New Roman" w:cs="Times New Roman" w:eastAsia="Times New Roman" w:hAnsi="Times New Roman"/>
                <w:sz w:val="17"/>
                <w:szCs w:val="17"/>
                <w:color w:val="auto"/>
              </w:rPr>
              <w:t>Class B common stock, $0.001 par value, 50,000,000 shares authorized; 27,681,719 shares issued and</w:t>
            </w:r>
          </w:p>
        </w:tc>
        <w:tc>
          <w:tcPr>
            <w:tcW w:w="180" w:type="dxa"/>
            <w:vAlign w:val="bottom"/>
            <w:shd w:val="clear" w:color="auto" w:fill="EAEAEA"/>
          </w:tcPr>
          <w:p>
            <w:pPr>
              <w:spacing w:after="0"/>
              <w:rPr>
                <w:sz w:val="16"/>
                <w:szCs w:val="16"/>
                <w:color w:val="auto"/>
              </w:rPr>
            </w:pPr>
          </w:p>
        </w:tc>
        <w:tc>
          <w:tcPr>
            <w:tcW w:w="1120" w:type="dxa"/>
            <w:vAlign w:val="bottom"/>
            <w:shd w:val="clear" w:color="auto" w:fill="EAEAEA"/>
          </w:tcPr>
          <w:p>
            <w:pPr>
              <w:spacing w:after="0"/>
              <w:rPr>
                <w:sz w:val="16"/>
                <w:szCs w:val="16"/>
                <w:color w:val="auto"/>
              </w:rPr>
            </w:pPr>
          </w:p>
        </w:tc>
        <w:tc>
          <w:tcPr>
            <w:tcW w:w="260" w:type="dxa"/>
            <w:vAlign w:val="bottom"/>
            <w:shd w:val="clear" w:color="auto" w:fill="EAEAEA"/>
          </w:tcPr>
          <w:p>
            <w:pPr>
              <w:spacing w:after="0"/>
              <w:rPr>
                <w:sz w:val="16"/>
                <w:szCs w:val="16"/>
                <w:color w:val="auto"/>
              </w:rPr>
            </w:pPr>
          </w:p>
        </w:tc>
        <w:tc>
          <w:tcPr>
            <w:tcW w:w="140" w:type="dxa"/>
            <w:vAlign w:val="bottom"/>
            <w:shd w:val="clear" w:color="auto" w:fill="EAEAEA"/>
          </w:tcPr>
          <w:p>
            <w:pPr>
              <w:spacing w:after="0"/>
              <w:rPr>
                <w:sz w:val="16"/>
                <w:szCs w:val="16"/>
                <w:color w:val="auto"/>
              </w:rPr>
            </w:pPr>
          </w:p>
        </w:tc>
        <w:tc>
          <w:tcPr>
            <w:tcW w:w="1180" w:type="dxa"/>
            <w:vAlign w:val="bottom"/>
            <w:shd w:val="clear" w:color="auto" w:fill="EAEAEA"/>
          </w:tcPr>
          <w:p>
            <w:pPr>
              <w:spacing w:after="0"/>
              <w:rPr>
                <w:sz w:val="16"/>
                <w:szCs w:val="16"/>
                <w:color w:val="auto"/>
              </w:rPr>
            </w:pPr>
          </w:p>
        </w:tc>
        <w:tc>
          <w:tcPr>
            <w:tcW w:w="6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520" w:type="dxa"/>
            <w:vAlign w:val="bottom"/>
            <w:shd w:val="clear" w:color="auto" w:fill="EAEAEA"/>
          </w:tcPr>
          <w:p>
            <w:pPr>
              <w:ind w:left="400"/>
              <w:spacing w:after="0"/>
              <w:rPr>
                <w:sz w:val="20"/>
                <w:szCs w:val="20"/>
                <w:color w:val="auto"/>
              </w:rPr>
            </w:pPr>
            <w:r>
              <w:rPr>
                <w:rFonts w:ascii="Times New Roman" w:cs="Times New Roman" w:eastAsia="Times New Roman" w:hAnsi="Times New Roman"/>
                <w:sz w:val="17"/>
                <w:szCs w:val="17"/>
                <w:color w:val="auto"/>
              </w:rPr>
              <w:t>outstanding and 27,886,912 shares issued and outstanding as of December 31, 2025 and December</w:t>
            </w:r>
          </w:p>
        </w:tc>
        <w:tc>
          <w:tcPr>
            <w:tcW w:w="180" w:type="dxa"/>
            <w:vAlign w:val="bottom"/>
            <w:shd w:val="clear" w:color="auto" w:fill="EAEAEA"/>
          </w:tcPr>
          <w:p>
            <w:pPr>
              <w:spacing w:after="0"/>
              <w:rPr>
                <w:sz w:val="16"/>
                <w:szCs w:val="16"/>
                <w:color w:val="auto"/>
              </w:rPr>
            </w:pPr>
          </w:p>
        </w:tc>
        <w:tc>
          <w:tcPr>
            <w:tcW w:w="112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260" w:type="dxa"/>
            <w:vAlign w:val="bottom"/>
            <w:shd w:val="clear" w:color="auto" w:fill="EAEAEA"/>
          </w:tcPr>
          <w:p>
            <w:pPr>
              <w:spacing w:after="0"/>
              <w:rPr>
                <w:sz w:val="16"/>
                <w:szCs w:val="16"/>
                <w:color w:val="auto"/>
              </w:rPr>
            </w:pPr>
          </w:p>
        </w:tc>
        <w:tc>
          <w:tcPr>
            <w:tcW w:w="140" w:type="dxa"/>
            <w:vAlign w:val="bottom"/>
            <w:shd w:val="clear" w:color="auto" w:fill="EAEAEA"/>
          </w:tcPr>
          <w:p>
            <w:pPr>
              <w:spacing w:after="0"/>
              <w:rPr>
                <w:sz w:val="16"/>
                <w:szCs w:val="16"/>
                <w:color w:val="auto"/>
              </w:rPr>
            </w:pPr>
          </w:p>
        </w:tc>
        <w:tc>
          <w:tcPr>
            <w:tcW w:w="118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6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520" w:type="dxa"/>
            <w:vAlign w:val="bottom"/>
            <w:shd w:val="clear" w:color="auto" w:fill="EAEAEA"/>
          </w:tcPr>
          <w:p>
            <w:pPr>
              <w:ind w:left="400"/>
              <w:spacing w:after="0"/>
              <w:rPr>
                <w:sz w:val="20"/>
                <w:szCs w:val="20"/>
                <w:color w:val="auto"/>
              </w:rPr>
            </w:pPr>
            <w:r>
              <w:rPr>
                <w:rFonts w:ascii="Times New Roman" w:cs="Times New Roman" w:eastAsia="Times New Roman" w:hAnsi="Times New Roman"/>
                <w:sz w:val="17"/>
                <w:szCs w:val="17"/>
                <w:color w:val="auto"/>
              </w:rPr>
              <w:t>31, 2024, respectively</w:t>
            </w:r>
          </w:p>
        </w:tc>
        <w:tc>
          <w:tcPr>
            <w:tcW w:w="180" w:type="dxa"/>
            <w:vAlign w:val="bottom"/>
            <w:shd w:val="clear" w:color="auto" w:fill="EAEAEA"/>
          </w:tcPr>
          <w:p>
            <w:pPr>
              <w:spacing w:after="0"/>
              <w:rPr>
                <w:sz w:val="18"/>
                <w:szCs w:val="18"/>
                <w:color w:val="auto"/>
              </w:rPr>
            </w:pPr>
          </w:p>
        </w:tc>
        <w:tc>
          <w:tcPr>
            <w:tcW w:w="1120" w:type="dxa"/>
            <w:vAlign w:val="bottom"/>
            <w:vMerge w:val="continue"/>
            <w:shd w:val="clear" w:color="auto" w:fill="EAEAEA"/>
          </w:tcPr>
          <w:p>
            <w:pPr>
              <w:spacing w:after="0"/>
              <w:rPr>
                <w:sz w:val="18"/>
                <w:szCs w:val="18"/>
                <w:color w:val="auto"/>
              </w:rPr>
            </w:pPr>
          </w:p>
        </w:tc>
        <w:tc>
          <w:tcPr>
            <w:tcW w:w="26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180" w:type="dxa"/>
            <w:vAlign w:val="bottom"/>
            <w:vMerge w:val="continue"/>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5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14,796</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11,782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shd w:val="clear" w:color="auto" w:fill="EAEAEA"/>
          </w:tcPr>
          <w:p>
            <w:pPr>
              <w:ind w:left="400"/>
              <w:spacing w:after="0"/>
              <w:rPr>
                <w:sz w:val="20"/>
                <w:szCs w:val="20"/>
                <w:color w:val="auto"/>
              </w:rPr>
            </w:pPr>
            <w:r>
              <w:rPr>
                <w:rFonts w:ascii="Times New Roman" w:cs="Times New Roman" w:eastAsia="Times New Roman" w:hAnsi="Times New Roman"/>
                <w:sz w:val="20"/>
                <w:szCs w:val="20"/>
                <w:color w:val="auto"/>
              </w:rPr>
              <w:t>Accumulated other comprehensive income</w:t>
            </w:r>
          </w:p>
        </w:tc>
        <w:tc>
          <w:tcPr>
            <w:tcW w:w="180" w:type="dxa"/>
            <w:vAlign w:val="bottom"/>
            <w:shd w:val="clear" w:color="auto" w:fill="EAEAEA"/>
          </w:tcPr>
          <w:p>
            <w:pPr>
              <w:spacing w:after="0"/>
              <w:rPr>
                <w:sz w:val="21"/>
                <w:szCs w:val="21"/>
                <w:color w:val="auto"/>
              </w:rPr>
            </w:pPr>
          </w:p>
        </w:tc>
        <w:tc>
          <w:tcPr>
            <w:tcW w:w="11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6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1240" w:type="dxa"/>
            <w:vAlign w:val="bottom"/>
            <w:gridSpan w:val="2"/>
            <w:shd w:val="clear" w:color="auto" w:fill="EAEAEA"/>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3"/>
        </w:trPr>
        <w:tc>
          <w:tcPr>
            <w:tcW w:w="75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Retained Earnings (accumulated deficit)</w:t>
            </w:r>
          </w:p>
        </w:tc>
        <w:tc>
          <w:tcPr>
            <w:tcW w:w="18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(2,111)</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shd w:val="clear" w:color="auto" w:fill="EAEAEA"/>
          </w:tcPr>
          <w:p>
            <w:pPr>
              <w:ind w:left="400"/>
              <w:spacing w:after="0"/>
              <w:rPr>
                <w:sz w:val="20"/>
                <w:szCs w:val="20"/>
                <w:color w:val="auto"/>
              </w:rPr>
            </w:pPr>
            <w:r>
              <w:rPr>
                <w:rFonts w:ascii="Times New Roman" w:cs="Times New Roman" w:eastAsia="Times New Roman" w:hAnsi="Times New Roman"/>
                <w:sz w:val="20"/>
                <w:szCs w:val="20"/>
                <w:color w:val="auto"/>
              </w:rPr>
              <w:t>Non-controlling interest</w:t>
            </w:r>
          </w:p>
        </w:tc>
        <w:tc>
          <w:tcPr>
            <w:tcW w:w="180" w:type="dxa"/>
            <w:vAlign w:val="bottom"/>
            <w:shd w:val="clear" w:color="auto" w:fill="EAEAEA"/>
          </w:tcPr>
          <w:p>
            <w:pPr>
              <w:spacing w:after="0"/>
              <w:rPr>
                <w:sz w:val="21"/>
                <w:szCs w:val="21"/>
                <w:color w:val="auto"/>
              </w:rPr>
            </w:pPr>
          </w:p>
        </w:tc>
        <w:tc>
          <w:tcPr>
            <w:tcW w:w="11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13,982</w:t>
            </w:r>
          </w:p>
        </w:tc>
        <w:tc>
          <w:tcPr>
            <w:tcW w:w="26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11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31,387</w:t>
            </w:r>
          </w:p>
        </w:tc>
        <w:tc>
          <w:tcPr>
            <w:tcW w:w="6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Treasury stock</w:t>
            </w:r>
          </w:p>
        </w:tc>
        <w:tc>
          <w:tcPr>
            <w:tcW w:w="18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(201)</w:t>
            </w:r>
          </w:p>
        </w:tc>
        <w:tc>
          <w:tcPr>
            <w:tcW w:w="14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8"/>
        </w:trPr>
        <w:tc>
          <w:tcPr>
            <w:tcW w:w="7520" w:type="dxa"/>
            <w:vAlign w:val="bottom"/>
            <w:tcBorders>
              <w:top w:val="single" w:sz="8" w:color="EAEAEA"/>
              <w:bottom w:val="single" w:sz="8" w:color="EAEAEA"/>
            </w:tcBorders>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rPr>
              <w:t>Total permanent equity</w:t>
            </w:r>
          </w:p>
        </w:tc>
        <w:tc>
          <w:tcPr>
            <w:tcW w:w="180" w:type="dxa"/>
            <w:vAlign w:val="bottom"/>
            <w:tcBorders>
              <w:top w:val="single" w:sz="8" w:color="auto"/>
              <w:bottom w:val="single" w:sz="8" w:color="auto"/>
            </w:tcBorders>
            <w:shd w:val="clear" w:color="auto" w:fill="EAEAEA"/>
          </w:tcPr>
          <w:p>
            <w:pPr>
              <w:spacing w:after="0"/>
              <w:rPr>
                <w:sz w:val="22"/>
                <w:szCs w:val="22"/>
                <w:color w:val="auto"/>
              </w:rPr>
            </w:pPr>
          </w:p>
        </w:tc>
        <w:tc>
          <w:tcPr>
            <w:tcW w:w="112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26,506</w:t>
            </w:r>
          </w:p>
        </w:tc>
        <w:tc>
          <w:tcPr>
            <w:tcW w:w="260" w:type="dxa"/>
            <w:vAlign w:val="bottom"/>
            <w:tcBorders>
              <w:top w:val="single" w:sz="8" w:color="EAEAEA"/>
              <w:bottom w:val="single" w:sz="8" w:color="EAEAEA"/>
            </w:tcBorders>
            <w:shd w:val="clear" w:color="auto" w:fill="EAEAEA"/>
          </w:tcPr>
          <w:p>
            <w:pPr>
              <w:spacing w:after="0"/>
              <w:rPr>
                <w:sz w:val="22"/>
                <w:szCs w:val="22"/>
                <w:color w:val="auto"/>
              </w:rPr>
            </w:pPr>
          </w:p>
        </w:tc>
        <w:tc>
          <w:tcPr>
            <w:tcW w:w="140" w:type="dxa"/>
            <w:vAlign w:val="bottom"/>
            <w:tcBorders>
              <w:top w:val="single" w:sz="8" w:color="auto"/>
              <w:bottom w:val="single" w:sz="8" w:color="auto"/>
            </w:tcBorders>
            <w:shd w:val="clear" w:color="auto" w:fill="EAEAEA"/>
          </w:tcPr>
          <w:p>
            <w:pPr>
              <w:spacing w:after="0"/>
              <w:rPr>
                <w:sz w:val="22"/>
                <w:szCs w:val="22"/>
                <w:color w:val="auto"/>
              </w:rPr>
            </w:pPr>
          </w:p>
        </w:tc>
        <w:tc>
          <w:tcPr>
            <w:tcW w:w="118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44,117</w:t>
            </w:r>
          </w:p>
        </w:tc>
        <w:tc>
          <w:tcPr>
            <w:tcW w:w="60" w:type="dxa"/>
            <w:vAlign w:val="bottom"/>
            <w:tcBorders>
              <w:top w:val="single" w:sz="8" w:color="EAEAEA"/>
              <w:bottom w:val="single" w:sz="8" w:color="EAEAEA"/>
            </w:tcBorders>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7520" w:type="dxa"/>
            <w:vAlign w:val="bottom"/>
          </w:tcPr>
          <w:p>
            <w:pPr>
              <w:spacing w:after="0" w:line="218" w:lineRule="exact"/>
              <w:rPr>
                <w:sz w:val="20"/>
                <w:szCs w:val="20"/>
                <w:color w:val="auto"/>
              </w:rPr>
            </w:pPr>
            <w:r>
              <w:rPr>
                <w:rFonts w:ascii="Times New Roman" w:cs="Times New Roman" w:eastAsia="Times New Roman" w:hAnsi="Times New Roman"/>
                <w:sz w:val="20"/>
                <w:szCs w:val="20"/>
                <w:b w:val="1"/>
                <w:bCs w:val="1"/>
                <w:color w:val="auto"/>
              </w:rPr>
              <w:t>Total liabilities, mezzanine equity, and permanent equity</w:t>
            </w:r>
          </w:p>
        </w:tc>
        <w:tc>
          <w:tcPr>
            <w:tcW w:w="18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259,856</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240,415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ind w:left="2780"/>
              <w:spacing w:after="0"/>
              <w:rPr>
                <w:sz w:val="20"/>
                <w:szCs w:val="20"/>
                <w:color w:val="auto"/>
              </w:rPr>
            </w:pPr>
            <w:r>
              <w:rPr>
                <w:rFonts w:ascii="Times New Roman" w:cs="Times New Roman" w:eastAsia="Times New Roman" w:hAnsi="Times New Roman"/>
                <w:sz w:val="19"/>
                <w:szCs w:val="19"/>
                <w:color w:val="auto"/>
              </w:rPr>
              <w:t>See accompanying notes to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5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4"/>
        </w:trPr>
        <w:tc>
          <w:tcPr>
            <w:tcW w:w="7520" w:type="dxa"/>
            <w:vAlign w:val="bottom"/>
          </w:tcPr>
          <w:p>
            <w:pPr>
              <w:ind w:left="5120"/>
              <w:spacing w:after="0"/>
              <w:rPr>
                <w:sz w:val="20"/>
                <w:szCs w:val="20"/>
                <w:color w:val="auto"/>
              </w:rPr>
            </w:pPr>
            <w:r>
              <w:rPr>
                <w:rFonts w:ascii="Times New Roman" w:cs="Times New Roman" w:eastAsia="Times New Roman" w:hAnsi="Times New Roman"/>
                <w:sz w:val="20"/>
                <w:szCs w:val="20"/>
                <w:color w:val="auto"/>
              </w:rPr>
              <w:t>F-4</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460"/>
          </w:cols>
          <w:pgMar w:left="1120" w:top="780" w:right="660" w:bottom="319" w:gutter="0" w:footer="0" w:header="0"/>
        </w:sectPr>
      </w:pPr>
    </w:p>
    <w:bookmarkStart w:id="70" w:name="page71"/>
    <w:bookmarkEnd w:id="70"/>
    <w:p>
      <w:pPr>
        <w:ind w:left="3100"/>
        <w:spacing w:after="0"/>
        <w:rPr>
          <w:sz w:val="20"/>
          <w:szCs w:val="20"/>
          <w:color w:val="auto"/>
        </w:rPr>
      </w:pPr>
      <w:r>
        <w:rPr>
          <w:rFonts w:ascii="Times New Roman" w:cs="Times New Roman" w:eastAsia="Times New Roman" w:hAnsi="Times New Roman"/>
          <w:sz w:val="20"/>
          <w:szCs w:val="20"/>
          <w:b w:val="1"/>
          <w:bCs w:val="1"/>
          <w:color w:val="auto"/>
        </w:rPr>
        <w:t>GEN RESTAURANT GROUP, INC.</w:t>
      </w:r>
    </w:p>
    <w:p>
      <w:pPr>
        <w:spacing w:after="0" w:line="3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b w:val="1"/>
          <w:bCs w:val="1"/>
          <w:color w:val="auto"/>
        </w:rPr>
        <w:t>Consolidated Statement of Operations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gridSpan w:val="6"/>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0" w:type="dxa"/>
            <w:vAlign w:val="bottom"/>
          </w:tcPr>
          <w:p>
            <w:pPr>
              <w:spacing w:after="0"/>
              <w:rPr>
                <w:sz w:val="1"/>
                <w:szCs w:val="1"/>
                <w:color w:val="auto"/>
              </w:rPr>
            </w:pPr>
          </w:p>
        </w:tc>
      </w:tr>
      <w:tr>
        <w:trPr>
          <w:trHeight w:val="216"/>
        </w:trPr>
        <w:tc>
          <w:tcPr>
            <w:tcW w:w="62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62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Revenue</w:t>
            </w:r>
          </w:p>
        </w:tc>
        <w:tc>
          <w:tcPr>
            <w:tcW w:w="36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212,541</w:t>
            </w:r>
          </w:p>
        </w:tc>
        <w:tc>
          <w:tcPr>
            <w:tcW w:w="80" w:type="dxa"/>
            <w:vAlign w:val="bottom"/>
            <w:shd w:val="clear" w:color="auto" w:fill="EAEAEA"/>
          </w:tcPr>
          <w:p>
            <w:pPr>
              <w:spacing w:after="0"/>
              <w:rPr>
                <w:sz w:val="22"/>
                <w:szCs w:val="22"/>
                <w:color w:val="auto"/>
              </w:rPr>
            </w:pPr>
          </w:p>
        </w:tc>
        <w:tc>
          <w:tcPr>
            <w:tcW w:w="460" w:type="dxa"/>
            <w:vAlign w:val="bottom"/>
            <w:gridSpan w:val="2"/>
            <w:shd w:val="clear" w:color="auto" w:fill="EAEAEA"/>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208,380</w:t>
            </w:r>
          </w:p>
        </w:tc>
        <w:tc>
          <w:tcPr>
            <w:tcW w:w="80" w:type="dxa"/>
            <w:vAlign w:val="bottom"/>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Restaurant operating expenses:</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0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Food cost</w:t>
            </w:r>
          </w:p>
        </w:tc>
        <w:tc>
          <w:tcPr>
            <w:tcW w:w="140" w:type="dxa"/>
            <w:vAlign w:val="bottom"/>
            <w:shd w:val="clear" w:color="auto" w:fill="EAEAEA"/>
          </w:tcPr>
          <w:p>
            <w:pPr>
              <w:spacing w:after="0"/>
              <w:rPr>
                <w:sz w:val="21"/>
                <w:szCs w:val="21"/>
                <w:color w:val="auto"/>
              </w:rPr>
            </w:pPr>
          </w:p>
        </w:tc>
        <w:tc>
          <w:tcPr>
            <w:tcW w:w="220" w:type="dxa"/>
            <w:vAlign w:val="bottom"/>
            <w:shd w:val="clear" w:color="auto" w:fill="EAEAEA"/>
          </w:tcPr>
          <w:p>
            <w:pPr>
              <w:spacing w:after="0"/>
              <w:rPr>
                <w:sz w:val="21"/>
                <w:szCs w:val="21"/>
                <w:color w:val="auto"/>
              </w:rPr>
            </w:pPr>
          </w:p>
        </w:tc>
        <w:tc>
          <w:tcPr>
            <w:tcW w:w="11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73,790</w:t>
            </w:r>
          </w:p>
        </w:tc>
        <w:tc>
          <w:tcPr>
            <w:tcW w:w="8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300" w:type="dxa"/>
            <w:vAlign w:val="bottom"/>
            <w:shd w:val="clear" w:color="auto" w:fill="EAEAEA"/>
          </w:tcPr>
          <w:p>
            <w:pPr>
              <w:spacing w:after="0"/>
              <w:rPr>
                <w:sz w:val="21"/>
                <w:szCs w:val="21"/>
                <w:color w:val="auto"/>
              </w:rPr>
            </w:pPr>
          </w:p>
        </w:tc>
        <w:tc>
          <w:tcPr>
            <w:tcW w:w="1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68,730</w:t>
            </w:r>
          </w:p>
        </w:tc>
        <w:tc>
          <w:tcPr>
            <w:tcW w:w="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Payroll and benefits</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64,943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64,322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0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Occupancy expenses</w:t>
            </w:r>
          </w:p>
        </w:tc>
        <w:tc>
          <w:tcPr>
            <w:tcW w:w="140" w:type="dxa"/>
            <w:vAlign w:val="bottom"/>
            <w:shd w:val="clear" w:color="auto" w:fill="EAEAEA"/>
          </w:tcPr>
          <w:p>
            <w:pPr>
              <w:spacing w:after="0"/>
              <w:rPr>
                <w:sz w:val="21"/>
                <w:szCs w:val="21"/>
                <w:color w:val="auto"/>
              </w:rPr>
            </w:pPr>
          </w:p>
        </w:tc>
        <w:tc>
          <w:tcPr>
            <w:tcW w:w="220" w:type="dxa"/>
            <w:vAlign w:val="bottom"/>
            <w:shd w:val="clear" w:color="auto" w:fill="EAEAEA"/>
          </w:tcPr>
          <w:p>
            <w:pPr>
              <w:spacing w:after="0"/>
              <w:rPr>
                <w:sz w:val="21"/>
                <w:szCs w:val="21"/>
                <w:color w:val="auto"/>
              </w:rPr>
            </w:pPr>
          </w:p>
        </w:tc>
        <w:tc>
          <w:tcPr>
            <w:tcW w:w="11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21,197</w:t>
            </w:r>
          </w:p>
        </w:tc>
        <w:tc>
          <w:tcPr>
            <w:tcW w:w="8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300" w:type="dxa"/>
            <w:vAlign w:val="bottom"/>
            <w:shd w:val="clear" w:color="auto" w:fill="EAEAEA"/>
          </w:tcPr>
          <w:p>
            <w:pPr>
              <w:spacing w:after="0"/>
              <w:rPr>
                <w:sz w:val="21"/>
                <w:szCs w:val="21"/>
                <w:color w:val="auto"/>
              </w:rPr>
            </w:pPr>
          </w:p>
        </w:tc>
        <w:tc>
          <w:tcPr>
            <w:tcW w:w="1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17,524</w:t>
            </w:r>
          </w:p>
        </w:tc>
        <w:tc>
          <w:tcPr>
            <w:tcW w:w="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expenses</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24,176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21,538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0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40" w:type="dxa"/>
            <w:vAlign w:val="bottom"/>
            <w:shd w:val="clear" w:color="auto" w:fill="EAEAEA"/>
          </w:tcPr>
          <w:p>
            <w:pPr>
              <w:spacing w:after="0"/>
              <w:rPr>
                <w:sz w:val="21"/>
                <w:szCs w:val="21"/>
                <w:color w:val="auto"/>
              </w:rPr>
            </w:pPr>
          </w:p>
        </w:tc>
        <w:tc>
          <w:tcPr>
            <w:tcW w:w="220" w:type="dxa"/>
            <w:vAlign w:val="bottom"/>
            <w:shd w:val="clear" w:color="auto" w:fill="EAEAEA"/>
          </w:tcPr>
          <w:p>
            <w:pPr>
              <w:spacing w:after="0"/>
              <w:rPr>
                <w:sz w:val="21"/>
                <w:szCs w:val="21"/>
                <w:color w:val="auto"/>
              </w:rPr>
            </w:pPr>
          </w:p>
        </w:tc>
        <w:tc>
          <w:tcPr>
            <w:tcW w:w="11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8,962</w:t>
            </w:r>
          </w:p>
        </w:tc>
        <w:tc>
          <w:tcPr>
            <w:tcW w:w="8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300" w:type="dxa"/>
            <w:vAlign w:val="bottom"/>
            <w:shd w:val="clear" w:color="auto" w:fill="EAEAEA"/>
          </w:tcPr>
          <w:p>
            <w:pPr>
              <w:spacing w:after="0"/>
              <w:rPr>
                <w:sz w:val="21"/>
                <w:szCs w:val="21"/>
                <w:color w:val="auto"/>
              </w:rPr>
            </w:pPr>
          </w:p>
        </w:tc>
        <w:tc>
          <w:tcPr>
            <w:tcW w:w="1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6,735</w:t>
            </w:r>
          </w:p>
        </w:tc>
        <w:tc>
          <w:tcPr>
            <w:tcW w:w="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00" w:type="dxa"/>
            <w:vAlign w:val="bottom"/>
            <w:tcBorders>
              <w:bottom w:val="single" w:sz="8" w:color="EAEAEA"/>
            </w:tcBorders>
          </w:tcPr>
          <w:p>
            <w:pPr>
              <w:ind w:left="200"/>
              <w:spacing w:after="0"/>
              <w:rPr>
                <w:sz w:val="20"/>
                <w:szCs w:val="20"/>
                <w:color w:val="auto"/>
              </w:rPr>
            </w:pPr>
            <w:r>
              <w:rPr>
                <w:rFonts w:ascii="Times New Roman" w:cs="Times New Roman" w:eastAsia="Times New Roman" w:hAnsi="Times New Roman"/>
                <w:sz w:val="20"/>
                <w:szCs w:val="20"/>
                <w:color w:val="auto"/>
              </w:rPr>
              <w:t>Pre-opening costs</w:t>
            </w:r>
          </w:p>
        </w:tc>
        <w:tc>
          <w:tcPr>
            <w:tcW w:w="140" w:type="dxa"/>
            <w:vAlign w:val="bottom"/>
            <w:tcBorders>
              <w:bottom w:val="single" w:sz="8" w:color="EAEAEA"/>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8,317</w:t>
            </w:r>
          </w:p>
        </w:tc>
        <w:tc>
          <w:tcPr>
            <w:tcW w:w="80" w:type="dxa"/>
            <w:vAlign w:val="bottom"/>
            <w:tcBorders>
              <w:bottom w:val="single" w:sz="8" w:color="EAEAEA"/>
            </w:tcBorders>
          </w:tcPr>
          <w:p>
            <w:pPr>
              <w:spacing w:after="0"/>
              <w:rPr>
                <w:sz w:val="21"/>
                <w:szCs w:val="21"/>
                <w:color w:val="auto"/>
              </w:rPr>
            </w:pPr>
          </w:p>
        </w:tc>
        <w:tc>
          <w:tcPr>
            <w:tcW w:w="160" w:type="dxa"/>
            <w:vAlign w:val="bottom"/>
            <w:tcBorders>
              <w:bottom w:val="single" w:sz="8" w:color="EAEAEA"/>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7,607</w:t>
            </w:r>
          </w:p>
        </w:tc>
        <w:tc>
          <w:tcPr>
            <w:tcW w:w="80" w:type="dxa"/>
            <w:vAlign w:val="bottom"/>
            <w:tcBorders>
              <w:bottom w:val="single" w:sz="8" w:color="EAEAEA"/>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200" w:type="dxa"/>
            <w:vAlign w:val="bottom"/>
            <w:shd w:val="clear" w:color="auto" w:fill="EAEAEA"/>
          </w:tcPr>
          <w:p>
            <w:pPr>
              <w:ind w:left="400"/>
              <w:spacing w:after="0"/>
              <w:rPr>
                <w:sz w:val="20"/>
                <w:szCs w:val="20"/>
                <w:color w:val="auto"/>
              </w:rPr>
            </w:pPr>
            <w:r>
              <w:rPr>
                <w:rFonts w:ascii="Times New Roman" w:cs="Times New Roman" w:eastAsia="Times New Roman" w:hAnsi="Times New Roman"/>
                <w:sz w:val="20"/>
                <w:szCs w:val="20"/>
                <w:color w:val="auto"/>
              </w:rPr>
              <w:t>Total restaurant operating expenses</w:t>
            </w:r>
          </w:p>
        </w:tc>
        <w:tc>
          <w:tcPr>
            <w:tcW w:w="140" w:type="dxa"/>
            <w:vAlign w:val="bottom"/>
            <w:shd w:val="clear" w:color="auto" w:fill="EAEAEA"/>
          </w:tcPr>
          <w:p>
            <w:pPr>
              <w:spacing w:after="0"/>
              <w:rPr>
                <w:sz w:val="20"/>
                <w:szCs w:val="20"/>
                <w:color w:val="auto"/>
              </w:rPr>
            </w:pPr>
          </w:p>
        </w:tc>
        <w:tc>
          <w:tcPr>
            <w:tcW w:w="220" w:type="dxa"/>
            <w:vAlign w:val="bottom"/>
            <w:tcBorders>
              <w:bottom w:val="single" w:sz="8" w:color="auto"/>
            </w:tcBorders>
            <w:shd w:val="clear" w:color="auto" w:fill="EAEAEA"/>
          </w:tcPr>
          <w:p>
            <w:pPr>
              <w:spacing w:after="0"/>
              <w:rPr>
                <w:sz w:val="20"/>
                <w:szCs w:val="20"/>
                <w:color w:val="auto"/>
              </w:rPr>
            </w:pPr>
          </w:p>
        </w:tc>
        <w:tc>
          <w:tcPr>
            <w:tcW w:w="114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201,385</w:t>
            </w:r>
          </w:p>
        </w:tc>
        <w:tc>
          <w:tcPr>
            <w:tcW w:w="8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300" w:type="dxa"/>
            <w:vAlign w:val="bottom"/>
            <w:tcBorders>
              <w:bottom w:val="single" w:sz="8" w:color="auto"/>
            </w:tcBorders>
            <w:shd w:val="clear" w:color="auto" w:fill="EAEAEA"/>
          </w:tcPr>
          <w:p>
            <w:pPr>
              <w:spacing w:after="0"/>
              <w:rPr>
                <w:sz w:val="20"/>
                <w:szCs w:val="20"/>
                <w:color w:val="auto"/>
              </w:rPr>
            </w:pPr>
          </w:p>
        </w:tc>
        <w:tc>
          <w:tcPr>
            <w:tcW w:w="104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186,456</w:t>
            </w:r>
          </w:p>
        </w:tc>
        <w:tc>
          <w:tcPr>
            <w:tcW w:w="8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25,935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2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Impairment expense</w:t>
            </w:r>
          </w:p>
        </w:tc>
        <w:tc>
          <w:tcPr>
            <w:tcW w:w="140" w:type="dxa"/>
            <w:vAlign w:val="bottom"/>
            <w:shd w:val="clear" w:color="auto" w:fill="EAEAEA"/>
          </w:tcPr>
          <w:p>
            <w:pPr>
              <w:spacing w:after="0"/>
              <w:rPr>
                <w:sz w:val="21"/>
                <w:szCs w:val="21"/>
                <w:color w:val="auto"/>
              </w:rPr>
            </w:pPr>
          </w:p>
        </w:tc>
        <w:tc>
          <w:tcPr>
            <w:tcW w:w="220" w:type="dxa"/>
            <w:vAlign w:val="bottom"/>
            <w:shd w:val="clear" w:color="auto" w:fill="EAEAEA"/>
          </w:tcPr>
          <w:p>
            <w:pPr>
              <w:spacing w:after="0"/>
              <w:rPr>
                <w:sz w:val="21"/>
                <w:szCs w:val="21"/>
                <w:color w:val="auto"/>
              </w:rPr>
            </w:pPr>
          </w:p>
        </w:tc>
        <w:tc>
          <w:tcPr>
            <w:tcW w:w="11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5,527</w:t>
            </w:r>
          </w:p>
        </w:tc>
        <w:tc>
          <w:tcPr>
            <w:tcW w:w="8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300" w:type="dxa"/>
            <w:vAlign w:val="bottom"/>
            <w:shd w:val="clear" w:color="auto" w:fill="EAEAEA"/>
          </w:tcPr>
          <w:p>
            <w:pPr>
              <w:spacing w:after="0"/>
              <w:rPr>
                <w:sz w:val="21"/>
                <w:szCs w:val="21"/>
                <w:color w:val="auto"/>
              </w:rPr>
            </w:pPr>
          </w:p>
        </w:tc>
        <w:tc>
          <w:tcPr>
            <w:tcW w:w="1120" w:type="dxa"/>
            <w:vAlign w:val="bottom"/>
            <w:gridSpan w:val="2"/>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 - corporate</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2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Gain on lease terminations</w:t>
            </w:r>
          </w:p>
        </w:tc>
        <w:tc>
          <w:tcPr>
            <w:tcW w:w="140" w:type="dxa"/>
            <w:vAlign w:val="bottom"/>
            <w:shd w:val="clear" w:color="auto" w:fill="EAEAEA"/>
          </w:tcPr>
          <w:p>
            <w:pPr>
              <w:spacing w:after="0"/>
              <w:rPr>
                <w:sz w:val="22"/>
                <w:szCs w:val="22"/>
                <w:color w:val="auto"/>
              </w:rPr>
            </w:pPr>
          </w:p>
        </w:tc>
        <w:tc>
          <w:tcPr>
            <w:tcW w:w="220" w:type="dxa"/>
            <w:vAlign w:val="bottom"/>
            <w:shd w:val="clear" w:color="auto" w:fill="EAEAEA"/>
          </w:tcPr>
          <w:p>
            <w:pPr>
              <w:spacing w:after="0"/>
              <w:rPr>
                <w:sz w:val="22"/>
                <w:szCs w:val="22"/>
                <w:color w:val="auto"/>
              </w:rPr>
            </w:pPr>
          </w:p>
        </w:tc>
        <w:tc>
          <w:tcPr>
            <w:tcW w:w="122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(471)</w:t>
            </w:r>
          </w:p>
        </w:tc>
        <w:tc>
          <w:tcPr>
            <w:tcW w:w="160" w:type="dxa"/>
            <w:vAlign w:val="bottom"/>
            <w:shd w:val="clear" w:color="auto" w:fill="EAEAEA"/>
          </w:tcPr>
          <w:p>
            <w:pPr>
              <w:spacing w:after="0"/>
              <w:rPr>
                <w:sz w:val="22"/>
                <w:szCs w:val="22"/>
                <w:color w:val="auto"/>
              </w:rPr>
            </w:pPr>
          </w:p>
        </w:tc>
        <w:tc>
          <w:tcPr>
            <w:tcW w:w="300" w:type="dxa"/>
            <w:vAlign w:val="bottom"/>
            <w:shd w:val="clear" w:color="auto" w:fill="EAEAEA"/>
          </w:tcPr>
          <w:p>
            <w:pPr>
              <w:spacing w:after="0"/>
              <w:rPr>
                <w:sz w:val="22"/>
                <w:szCs w:val="22"/>
                <w:color w:val="auto"/>
              </w:rPr>
            </w:pPr>
          </w:p>
        </w:tc>
        <w:tc>
          <w:tcPr>
            <w:tcW w:w="1120" w:type="dxa"/>
            <w:vAlign w:val="bottom"/>
            <w:gridSpan w:val="2"/>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9"/>
        </w:trPr>
        <w:tc>
          <w:tcPr>
            <w:tcW w:w="6200" w:type="dxa"/>
            <w:vAlign w:val="bottom"/>
            <w:tcBorders>
              <w:top w:val="single" w:sz="8" w:color="EAEAEA"/>
              <w:bottom w:val="single" w:sz="8" w:color="EAEAEA"/>
            </w:tcBorders>
          </w:tcPr>
          <w:p>
            <w:pPr>
              <w:ind w:left="400"/>
              <w:spacing w:after="0" w:line="219" w:lineRule="exact"/>
              <w:rPr>
                <w:sz w:val="20"/>
                <w:szCs w:val="20"/>
                <w:color w:val="auto"/>
              </w:rPr>
            </w:pPr>
            <w:r>
              <w:rPr>
                <w:rFonts w:ascii="Times New Roman" w:cs="Times New Roman" w:eastAsia="Times New Roman" w:hAnsi="Times New Roman"/>
                <w:sz w:val="20"/>
                <w:szCs w:val="20"/>
                <w:color w:val="auto"/>
              </w:rPr>
              <w:t>Total costs and expenses</w:t>
            </w:r>
          </w:p>
        </w:tc>
        <w:tc>
          <w:tcPr>
            <w:tcW w:w="140" w:type="dxa"/>
            <w:vAlign w:val="bottom"/>
            <w:tcBorders>
              <w:top w:val="single" w:sz="8" w:color="EAEAEA"/>
              <w:bottom w:val="single" w:sz="8" w:color="EAEAEA"/>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232,534</w:t>
            </w:r>
          </w:p>
        </w:tc>
        <w:tc>
          <w:tcPr>
            <w:tcW w:w="80" w:type="dxa"/>
            <w:vAlign w:val="bottom"/>
            <w:tcBorders>
              <w:top w:val="single" w:sz="8" w:color="EAEAEA"/>
              <w:bottom w:val="single" w:sz="8" w:color="EAEAEA"/>
            </w:tcBorders>
          </w:tcPr>
          <w:p>
            <w:pPr>
              <w:spacing w:after="0"/>
              <w:rPr>
                <w:sz w:val="19"/>
                <w:szCs w:val="19"/>
                <w:color w:val="auto"/>
              </w:rPr>
            </w:pPr>
          </w:p>
        </w:tc>
        <w:tc>
          <w:tcPr>
            <w:tcW w:w="160" w:type="dxa"/>
            <w:vAlign w:val="bottom"/>
            <w:tcBorders>
              <w:top w:val="single" w:sz="8" w:color="EAEAEA"/>
              <w:bottom w:val="single" w:sz="8" w:color="EAEAEA"/>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207,904</w:t>
            </w:r>
          </w:p>
        </w:tc>
        <w:tc>
          <w:tcPr>
            <w:tcW w:w="80" w:type="dxa"/>
            <w:vAlign w:val="bottom"/>
            <w:tcBorders>
              <w:top w:val="single" w:sz="8" w:color="EAEAEA"/>
              <w:bottom w:val="single" w:sz="8" w:color="EAEAEA"/>
            </w:tcBorders>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6200" w:type="dxa"/>
            <w:vAlign w:val="bottom"/>
            <w:tcBorders>
              <w:bottom w:val="single" w:sz="8" w:color="EAEAEA"/>
            </w:tcBorders>
            <w:shd w:val="clear" w:color="auto" w:fill="EAEAEA"/>
          </w:tcPr>
          <w:p>
            <w:pPr>
              <w:ind w:left="400"/>
              <w:spacing w:after="0"/>
              <w:rPr>
                <w:sz w:val="20"/>
                <w:szCs w:val="20"/>
                <w:color w:val="auto"/>
              </w:rPr>
            </w:pPr>
            <w:r>
              <w:rPr>
                <w:rFonts w:ascii="Times New Roman" w:cs="Times New Roman" w:eastAsia="Times New Roman" w:hAnsi="Times New Roman"/>
                <w:sz w:val="20"/>
                <w:szCs w:val="20"/>
                <w:color w:val="auto"/>
              </w:rPr>
              <w:t>(Loss) income from operations</w:t>
            </w:r>
          </w:p>
        </w:tc>
        <w:tc>
          <w:tcPr>
            <w:tcW w:w="140" w:type="dxa"/>
            <w:vAlign w:val="bottom"/>
            <w:tcBorders>
              <w:bottom w:val="single" w:sz="8" w:color="EAEAEA"/>
            </w:tcBorders>
            <w:shd w:val="clear" w:color="auto" w:fill="EAEAEA"/>
          </w:tcPr>
          <w:p>
            <w:pPr>
              <w:spacing w:after="0"/>
              <w:rPr>
                <w:sz w:val="22"/>
                <w:szCs w:val="22"/>
                <w:color w:val="auto"/>
              </w:rPr>
            </w:pPr>
          </w:p>
        </w:tc>
        <w:tc>
          <w:tcPr>
            <w:tcW w:w="220" w:type="dxa"/>
            <w:vAlign w:val="bottom"/>
            <w:tcBorders>
              <w:bottom w:val="single" w:sz="8" w:color="auto"/>
            </w:tcBorders>
            <w:shd w:val="clear" w:color="auto" w:fill="EAEAEA"/>
          </w:tcPr>
          <w:p>
            <w:pPr>
              <w:spacing w:after="0"/>
              <w:rPr>
                <w:sz w:val="22"/>
                <w:szCs w:val="22"/>
                <w:color w:val="auto"/>
              </w:rPr>
            </w:pPr>
          </w:p>
        </w:tc>
        <w:tc>
          <w:tcPr>
            <w:tcW w:w="114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(19,993)</w:t>
            </w:r>
          </w:p>
        </w:tc>
        <w:tc>
          <w:tcPr>
            <w:tcW w:w="80" w:type="dxa"/>
            <w:vAlign w:val="bottom"/>
            <w:tcBorders>
              <w:bottom w:val="single" w:sz="8" w:color="EAEAEA"/>
            </w:tcBorders>
            <w:shd w:val="clear" w:color="auto" w:fill="EAEAEA"/>
          </w:tcPr>
          <w:p>
            <w:pPr>
              <w:spacing w:after="0"/>
              <w:rPr>
                <w:sz w:val="22"/>
                <w:szCs w:val="22"/>
                <w:color w:val="auto"/>
              </w:rPr>
            </w:pPr>
          </w:p>
        </w:tc>
        <w:tc>
          <w:tcPr>
            <w:tcW w:w="160" w:type="dxa"/>
            <w:vAlign w:val="bottom"/>
            <w:tcBorders>
              <w:bottom w:val="single" w:sz="8" w:color="EAEAEA"/>
            </w:tcBorders>
            <w:shd w:val="clear" w:color="auto" w:fill="EAEAEA"/>
          </w:tcPr>
          <w:p>
            <w:pPr>
              <w:spacing w:after="0"/>
              <w:rPr>
                <w:sz w:val="22"/>
                <w:szCs w:val="22"/>
                <w:color w:val="auto"/>
              </w:rPr>
            </w:pPr>
          </w:p>
        </w:tc>
        <w:tc>
          <w:tcPr>
            <w:tcW w:w="300" w:type="dxa"/>
            <w:vAlign w:val="bottom"/>
            <w:tcBorders>
              <w:bottom w:val="single" w:sz="8" w:color="auto"/>
            </w:tcBorders>
            <w:shd w:val="clear" w:color="auto" w:fill="EAEAEA"/>
          </w:tcPr>
          <w:p>
            <w:pPr>
              <w:spacing w:after="0"/>
              <w:rPr>
                <w:sz w:val="22"/>
                <w:szCs w:val="22"/>
                <w:color w:val="auto"/>
              </w:rPr>
            </w:pPr>
          </w:p>
        </w:tc>
        <w:tc>
          <w:tcPr>
            <w:tcW w:w="104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476</w:t>
            </w:r>
          </w:p>
        </w:tc>
        <w:tc>
          <w:tcPr>
            <w:tcW w:w="80" w:type="dxa"/>
            <w:vAlign w:val="bottom"/>
            <w:tcBorders>
              <w:bottom w:val="single" w:sz="8" w:color="EAEAEA"/>
            </w:tcBorders>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20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Employee retention credits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313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2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Gain on remeasurement of previously held interest (see Note 3)</w:t>
            </w:r>
          </w:p>
        </w:tc>
        <w:tc>
          <w:tcPr>
            <w:tcW w:w="140" w:type="dxa"/>
            <w:vAlign w:val="bottom"/>
            <w:shd w:val="clear" w:color="auto" w:fill="EAEAEA"/>
          </w:tcPr>
          <w:p>
            <w:pPr>
              <w:spacing w:after="0"/>
              <w:rPr>
                <w:sz w:val="21"/>
                <w:szCs w:val="21"/>
                <w:color w:val="auto"/>
              </w:rPr>
            </w:pPr>
          </w:p>
        </w:tc>
        <w:tc>
          <w:tcPr>
            <w:tcW w:w="220" w:type="dxa"/>
            <w:vAlign w:val="bottom"/>
            <w:shd w:val="clear" w:color="auto" w:fill="EAEAEA"/>
          </w:tcPr>
          <w:p>
            <w:pPr>
              <w:spacing w:after="0"/>
              <w:rPr>
                <w:sz w:val="21"/>
                <w:szCs w:val="21"/>
                <w:color w:val="auto"/>
              </w:rPr>
            </w:pPr>
          </w:p>
        </w:tc>
        <w:tc>
          <w:tcPr>
            <w:tcW w:w="1220" w:type="dxa"/>
            <w:vAlign w:val="bottom"/>
            <w:gridSpan w:val="2"/>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AEAEA"/>
          </w:tcPr>
          <w:p>
            <w:pPr>
              <w:spacing w:after="0"/>
              <w:rPr>
                <w:sz w:val="21"/>
                <w:szCs w:val="21"/>
                <w:color w:val="auto"/>
              </w:rPr>
            </w:pPr>
          </w:p>
        </w:tc>
        <w:tc>
          <w:tcPr>
            <w:tcW w:w="300" w:type="dxa"/>
            <w:vAlign w:val="bottom"/>
            <w:shd w:val="clear" w:color="auto" w:fill="EAEAEA"/>
          </w:tcPr>
          <w:p>
            <w:pPr>
              <w:spacing w:after="0"/>
              <w:rPr>
                <w:sz w:val="21"/>
                <w:szCs w:val="21"/>
                <w:color w:val="auto"/>
              </w:rPr>
            </w:pPr>
          </w:p>
        </w:tc>
        <w:tc>
          <w:tcPr>
            <w:tcW w:w="1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3,402</w:t>
            </w:r>
          </w:p>
        </w:tc>
        <w:tc>
          <w:tcPr>
            <w:tcW w:w="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Other loss</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(346)</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62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Loss on foreign currency</w:t>
            </w:r>
          </w:p>
        </w:tc>
        <w:tc>
          <w:tcPr>
            <w:tcW w:w="140" w:type="dxa"/>
            <w:vAlign w:val="bottom"/>
            <w:shd w:val="clear" w:color="auto" w:fill="EAEAEA"/>
          </w:tcPr>
          <w:p>
            <w:pPr>
              <w:spacing w:after="0"/>
              <w:rPr>
                <w:sz w:val="21"/>
                <w:szCs w:val="21"/>
                <w:color w:val="auto"/>
              </w:rPr>
            </w:pPr>
          </w:p>
        </w:tc>
        <w:tc>
          <w:tcPr>
            <w:tcW w:w="220" w:type="dxa"/>
            <w:vAlign w:val="bottom"/>
            <w:shd w:val="clear" w:color="auto" w:fill="EAEAEA"/>
          </w:tcPr>
          <w:p>
            <w:pPr>
              <w:spacing w:after="0"/>
              <w:rPr>
                <w:sz w:val="21"/>
                <w:szCs w:val="21"/>
                <w:color w:val="auto"/>
              </w:rPr>
            </w:pPr>
          </w:p>
        </w:tc>
        <w:tc>
          <w:tcPr>
            <w:tcW w:w="122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(47)</w:t>
            </w:r>
          </w:p>
        </w:tc>
        <w:tc>
          <w:tcPr>
            <w:tcW w:w="160" w:type="dxa"/>
            <w:vAlign w:val="bottom"/>
            <w:shd w:val="clear" w:color="auto" w:fill="EAEAEA"/>
          </w:tcPr>
          <w:p>
            <w:pPr>
              <w:spacing w:after="0"/>
              <w:rPr>
                <w:sz w:val="21"/>
                <w:szCs w:val="21"/>
                <w:color w:val="auto"/>
              </w:rPr>
            </w:pPr>
          </w:p>
        </w:tc>
        <w:tc>
          <w:tcPr>
            <w:tcW w:w="300" w:type="dxa"/>
            <w:vAlign w:val="bottom"/>
            <w:shd w:val="clear" w:color="auto" w:fill="EAEAEA"/>
          </w:tcPr>
          <w:p>
            <w:pPr>
              <w:spacing w:after="0"/>
              <w:rPr>
                <w:sz w:val="21"/>
                <w:szCs w:val="21"/>
                <w:color w:val="auto"/>
              </w:rPr>
            </w:pPr>
          </w:p>
        </w:tc>
        <w:tc>
          <w:tcPr>
            <w:tcW w:w="1120" w:type="dxa"/>
            <w:vAlign w:val="bottom"/>
            <w:gridSpan w:val="2"/>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 income, net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(232)</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2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Equity in loss of equity method investee</w:t>
            </w:r>
          </w:p>
        </w:tc>
        <w:tc>
          <w:tcPr>
            <w:tcW w:w="140" w:type="dxa"/>
            <w:vAlign w:val="bottom"/>
            <w:shd w:val="clear" w:color="auto" w:fill="EAEAEA"/>
          </w:tcPr>
          <w:p>
            <w:pPr>
              <w:spacing w:after="0"/>
              <w:rPr>
                <w:sz w:val="22"/>
                <w:szCs w:val="22"/>
                <w:color w:val="auto"/>
              </w:rPr>
            </w:pPr>
          </w:p>
        </w:tc>
        <w:tc>
          <w:tcPr>
            <w:tcW w:w="220" w:type="dxa"/>
            <w:vAlign w:val="bottom"/>
            <w:shd w:val="clear" w:color="auto" w:fill="EAEAEA"/>
          </w:tcPr>
          <w:p>
            <w:pPr>
              <w:spacing w:after="0"/>
              <w:rPr>
                <w:sz w:val="22"/>
                <w:szCs w:val="22"/>
                <w:color w:val="auto"/>
              </w:rPr>
            </w:pPr>
          </w:p>
        </w:tc>
        <w:tc>
          <w:tcPr>
            <w:tcW w:w="1220" w:type="dxa"/>
            <w:vAlign w:val="bottom"/>
            <w:gridSpan w:val="2"/>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AEAEA"/>
          </w:tcPr>
          <w:p>
            <w:pPr>
              <w:spacing w:after="0"/>
              <w:rPr>
                <w:sz w:val="22"/>
                <w:szCs w:val="22"/>
                <w:color w:val="auto"/>
              </w:rPr>
            </w:pPr>
          </w:p>
        </w:tc>
        <w:tc>
          <w:tcPr>
            <w:tcW w:w="300" w:type="dxa"/>
            <w:vAlign w:val="bottom"/>
            <w:shd w:val="clear" w:color="auto" w:fill="EAEAEA"/>
          </w:tcPr>
          <w:p>
            <w:pPr>
              <w:spacing w:after="0"/>
              <w:rPr>
                <w:sz w:val="22"/>
                <w:szCs w:val="22"/>
                <w:color w:val="auto"/>
              </w:rPr>
            </w:pPr>
          </w:p>
        </w:tc>
        <w:tc>
          <w:tcPr>
            <w:tcW w:w="112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19"/>
        </w:trPr>
        <w:tc>
          <w:tcPr>
            <w:tcW w:w="6200" w:type="dxa"/>
            <w:vAlign w:val="bottom"/>
            <w:tcBorders>
              <w:top w:val="single" w:sz="8" w:color="EAEAEA"/>
            </w:tcBorders>
          </w:tcPr>
          <w:p>
            <w:pPr>
              <w:ind w:left="200"/>
              <w:spacing w:after="0" w:line="219" w:lineRule="exact"/>
              <w:rPr>
                <w:sz w:val="20"/>
                <w:szCs w:val="20"/>
                <w:color w:val="auto"/>
              </w:rPr>
            </w:pPr>
            <w:r>
              <w:rPr>
                <w:rFonts w:ascii="Times New Roman" w:cs="Times New Roman" w:eastAsia="Times New Roman" w:hAnsi="Times New Roman"/>
                <w:sz w:val="20"/>
                <w:szCs w:val="20"/>
                <w:color w:val="auto"/>
              </w:rPr>
              <w:t>Net (loss) income before income taxes</w:t>
            </w:r>
          </w:p>
        </w:tc>
        <w:tc>
          <w:tcPr>
            <w:tcW w:w="140" w:type="dxa"/>
            <w:vAlign w:val="bottom"/>
            <w:tcBorders>
              <w:top w:val="single" w:sz="8" w:color="EAEAEA"/>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(20,305)</w:t>
            </w:r>
          </w:p>
        </w:tc>
        <w:tc>
          <w:tcPr>
            <w:tcW w:w="80" w:type="dxa"/>
            <w:vAlign w:val="bottom"/>
            <w:tcBorders>
              <w:top w:val="single" w:sz="8" w:color="EAEAEA"/>
            </w:tcBorders>
          </w:tcPr>
          <w:p>
            <w:pPr>
              <w:spacing w:after="0"/>
              <w:rPr>
                <w:sz w:val="19"/>
                <w:szCs w:val="19"/>
                <w:color w:val="auto"/>
              </w:rPr>
            </w:pPr>
          </w:p>
        </w:tc>
        <w:tc>
          <w:tcPr>
            <w:tcW w:w="160" w:type="dxa"/>
            <w:vAlign w:val="bottom"/>
            <w:tcBorders>
              <w:top w:val="single" w:sz="8" w:color="EAEAEA"/>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4,889</w:t>
            </w:r>
          </w:p>
        </w:tc>
        <w:tc>
          <w:tcPr>
            <w:tcW w:w="80" w:type="dxa"/>
            <w:vAlign w:val="bottom"/>
            <w:tcBorders>
              <w:top w:val="single" w:sz="8" w:color="EAEAEA"/>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20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(Benefit) provision for income taxes</w:t>
            </w:r>
          </w:p>
        </w:tc>
        <w:tc>
          <w:tcPr>
            <w:tcW w:w="140" w:type="dxa"/>
            <w:vAlign w:val="bottom"/>
            <w:shd w:val="clear" w:color="auto" w:fill="EAEAEA"/>
          </w:tcPr>
          <w:p>
            <w:pPr>
              <w:spacing w:after="0"/>
              <w:rPr>
                <w:sz w:val="22"/>
                <w:szCs w:val="22"/>
                <w:color w:val="auto"/>
              </w:rPr>
            </w:pPr>
          </w:p>
        </w:tc>
        <w:tc>
          <w:tcPr>
            <w:tcW w:w="220" w:type="dxa"/>
            <w:vAlign w:val="bottom"/>
            <w:shd w:val="clear" w:color="auto" w:fill="EAEAEA"/>
          </w:tcPr>
          <w:p>
            <w:pPr>
              <w:spacing w:after="0"/>
              <w:rPr>
                <w:sz w:val="22"/>
                <w:szCs w:val="22"/>
                <w:color w:val="auto"/>
              </w:rPr>
            </w:pPr>
          </w:p>
        </w:tc>
        <w:tc>
          <w:tcPr>
            <w:tcW w:w="122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(930)</w:t>
            </w:r>
          </w:p>
        </w:tc>
        <w:tc>
          <w:tcPr>
            <w:tcW w:w="160" w:type="dxa"/>
            <w:vAlign w:val="bottom"/>
            <w:shd w:val="clear" w:color="auto" w:fill="EAEAEA"/>
          </w:tcPr>
          <w:p>
            <w:pPr>
              <w:spacing w:after="0"/>
              <w:rPr>
                <w:sz w:val="22"/>
                <w:szCs w:val="22"/>
                <w:color w:val="auto"/>
              </w:rPr>
            </w:pPr>
          </w:p>
        </w:tc>
        <w:tc>
          <w:tcPr>
            <w:tcW w:w="300" w:type="dxa"/>
            <w:vAlign w:val="bottom"/>
            <w:shd w:val="clear" w:color="auto" w:fill="EAEAEA"/>
          </w:tcPr>
          <w:p>
            <w:pPr>
              <w:spacing w:after="0"/>
              <w:rPr>
                <w:sz w:val="22"/>
                <w:szCs w:val="22"/>
                <w:color w:val="auto"/>
              </w:rPr>
            </w:pPr>
          </w:p>
        </w:tc>
        <w:tc>
          <w:tcPr>
            <w:tcW w:w="1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357</w:t>
            </w:r>
          </w:p>
        </w:tc>
        <w:tc>
          <w:tcPr>
            <w:tcW w:w="80" w:type="dxa"/>
            <w:vAlign w:val="bottom"/>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200" w:type="dxa"/>
            <w:vAlign w:val="bottom"/>
            <w:tcBorders>
              <w:top w:val="single" w:sz="8" w:color="EAEAEA"/>
            </w:tcBorders>
          </w:tcPr>
          <w:p>
            <w:pPr>
              <w:ind w:left="200"/>
              <w:spacing w:after="0" w:line="219" w:lineRule="exact"/>
              <w:rPr>
                <w:sz w:val="20"/>
                <w:szCs w:val="20"/>
                <w:color w:val="auto"/>
              </w:rPr>
            </w:pPr>
            <w:r>
              <w:rPr>
                <w:rFonts w:ascii="Times New Roman" w:cs="Times New Roman" w:eastAsia="Times New Roman" w:hAnsi="Times New Roman"/>
                <w:sz w:val="20"/>
                <w:szCs w:val="20"/>
                <w:color w:val="auto"/>
              </w:rPr>
              <w:t>Net (loss) income</w:t>
            </w:r>
          </w:p>
        </w:tc>
        <w:tc>
          <w:tcPr>
            <w:tcW w:w="140" w:type="dxa"/>
            <w:vAlign w:val="bottom"/>
            <w:tcBorders>
              <w:top w:val="single" w:sz="8" w:color="EAEAEA"/>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(19,375)</w:t>
            </w:r>
          </w:p>
        </w:tc>
        <w:tc>
          <w:tcPr>
            <w:tcW w:w="80" w:type="dxa"/>
            <w:vAlign w:val="bottom"/>
            <w:tcBorders>
              <w:top w:val="single" w:sz="8" w:color="EAEAEA"/>
            </w:tcBorders>
          </w:tcPr>
          <w:p>
            <w:pPr>
              <w:spacing w:after="0"/>
              <w:rPr>
                <w:sz w:val="19"/>
                <w:szCs w:val="19"/>
                <w:color w:val="auto"/>
              </w:rPr>
            </w:pPr>
          </w:p>
        </w:tc>
        <w:tc>
          <w:tcPr>
            <w:tcW w:w="160" w:type="dxa"/>
            <w:vAlign w:val="bottom"/>
            <w:tcBorders>
              <w:top w:val="single" w:sz="8" w:color="EAEAEA"/>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4,532</w:t>
            </w:r>
          </w:p>
        </w:tc>
        <w:tc>
          <w:tcPr>
            <w:tcW w:w="80" w:type="dxa"/>
            <w:vAlign w:val="bottom"/>
            <w:tcBorders>
              <w:top w:val="single" w:sz="8" w:color="EAEAEA"/>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200" w:type="dxa"/>
            <w:vAlign w:val="bottom"/>
            <w:shd w:val="clear" w:color="auto" w:fill="EAEAEA"/>
          </w:tcPr>
          <w:p>
            <w:pPr>
              <w:ind w:left="100"/>
              <w:spacing w:after="0"/>
              <w:rPr>
                <w:sz w:val="20"/>
                <w:szCs w:val="20"/>
                <w:color w:val="auto"/>
              </w:rPr>
            </w:pPr>
            <w:r>
              <w:rPr>
                <w:rFonts w:ascii="Times New Roman" w:cs="Times New Roman" w:eastAsia="Times New Roman" w:hAnsi="Times New Roman"/>
                <w:sz w:val="20"/>
                <w:szCs w:val="20"/>
                <w:color w:val="auto"/>
              </w:rPr>
              <w:t>Less: Net (loss) income attributable to non-controlling interest</w:t>
            </w:r>
          </w:p>
        </w:tc>
        <w:tc>
          <w:tcPr>
            <w:tcW w:w="140" w:type="dxa"/>
            <w:vAlign w:val="bottom"/>
            <w:shd w:val="clear" w:color="auto" w:fill="EAEAEA"/>
          </w:tcPr>
          <w:p>
            <w:pPr>
              <w:spacing w:after="0"/>
              <w:rPr>
                <w:sz w:val="22"/>
                <w:szCs w:val="22"/>
                <w:color w:val="auto"/>
              </w:rPr>
            </w:pPr>
          </w:p>
        </w:tc>
        <w:tc>
          <w:tcPr>
            <w:tcW w:w="220" w:type="dxa"/>
            <w:vAlign w:val="bottom"/>
            <w:shd w:val="clear" w:color="auto" w:fill="EAEAEA"/>
          </w:tcPr>
          <w:p>
            <w:pPr>
              <w:spacing w:after="0"/>
              <w:rPr>
                <w:sz w:val="22"/>
                <w:szCs w:val="22"/>
                <w:color w:val="auto"/>
              </w:rPr>
            </w:pPr>
          </w:p>
        </w:tc>
        <w:tc>
          <w:tcPr>
            <w:tcW w:w="122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(16,349)</w:t>
            </w:r>
          </w:p>
        </w:tc>
        <w:tc>
          <w:tcPr>
            <w:tcW w:w="160" w:type="dxa"/>
            <w:vAlign w:val="bottom"/>
            <w:shd w:val="clear" w:color="auto" w:fill="EAEAEA"/>
          </w:tcPr>
          <w:p>
            <w:pPr>
              <w:spacing w:after="0"/>
              <w:rPr>
                <w:sz w:val="22"/>
                <w:szCs w:val="22"/>
                <w:color w:val="auto"/>
              </w:rPr>
            </w:pPr>
          </w:p>
        </w:tc>
        <w:tc>
          <w:tcPr>
            <w:tcW w:w="300" w:type="dxa"/>
            <w:vAlign w:val="bottom"/>
            <w:shd w:val="clear" w:color="auto" w:fill="EAEAEA"/>
          </w:tcPr>
          <w:p>
            <w:pPr>
              <w:spacing w:after="0"/>
              <w:rPr>
                <w:sz w:val="22"/>
                <w:szCs w:val="22"/>
                <w:color w:val="auto"/>
              </w:rPr>
            </w:pPr>
          </w:p>
        </w:tc>
        <w:tc>
          <w:tcPr>
            <w:tcW w:w="1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3,940</w:t>
            </w:r>
          </w:p>
        </w:tc>
        <w:tc>
          <w:tcPr>
            <w:tcW w:w="80" w:type="dxa"/>
            <w:vAlign w:val="bottom"/>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6200" w:type="dxa"/>
            <w:vAlign w:val="bottom"/>
            <w:tcBorders>
              <w:top w:val="single" w:sz="8" w:color="EAEAEA"/>
            </w:tcBorders>
          </w:tcPr>
          <w:p>
            <w:pPr>
              <w:ind w:left="100"/>
              <w:spacing w:after="0"/>
              <w:rPr>
                <w:sz w:val="20"/>
                <w:szCs w:val="20"/>
                <w:color w:val="auto"/>
              </w:rPr>
            </w:pPr>
            <w:r>
              <w:rPr>
                <w:rFonts w:ascii="Times New Roman" w:cs="Times New Roman" w:eastAsia="Times New Roman" w:hAnsi="Times New Roman"/>
                <w:sz w:val="20"/>
                <w:szCs w:val="20"/>
                <w:color w:val="auto"/>
              </w:rPr>
              <w:t>Net (loss) income attributable to GEN Restaurant Group, Inc.</w:t>
            </w:r>
          </w:p>
        </w:tc>
        <w:tc>
          <w:tcPr>
            <w:tcW w:w="140" w:type="dxa"/>
            <w:vAlign w:val="bottom"/>
            <w:tcBorders>
              <w:top w:val="single" w:sz="8" w:color="EAEAEA"/>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(3,026)</w:t>
            </w:r>
          </w:p>
        </w:tc>
        <w:tc>
          <w:tcPr>
            <w:tcW w:w="80" w:type="dxa"/>
            <w:vAlign w:val="bottom"/>
            <w:tcBorders>
              <w:top w:val="single" w:sz="8" w:color="EAEAEA"/>
            </w:tcBorders>
          </w:tcPr>
          <w:p>
            <w:pPr>
              <w:spacing w:after="0"/>
              <w:rPr>
                <w:sz w:val="20"/>
                <w:szCs w:val="20"/>
                <w:color w:val="auto"/>
              </w:rPr>
            </w:pPr>
          </w:p>
        </w:tc>
        <w:tc>
          <w:tcPr>
            <w:tcW w:w="160" w:type="dxa"/>
            <w:vAlign w:val="bottom"/>
            <w:tcBorders>
              <w:top w:val="single" w:sz="8" w:color="EAEAEA"/>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592</w:t>
            </w:r>
          </w:p>
        </w:tc>
        <w:tc>
          <w:tcPr>
            <w:tcW w:w="80" w:type="dxa"/>
            <w:vAlign w:val="bottom"/>
            <w:tcBorders>
              <w:top w:val="single" w:sz="8" w:color="EAEAEA"/>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200" w:type="dxa"/>
            <w:vAlign w:val="bottom"/>
            <w:shd w:val="clear" w:color="auto" w:fill="EAEAEA"/>
          </w:tcPr>
          <w:p>
            <w:pPr>
              <w:ind w:left="100"/>
              <w:spacing w:after="0" w:line="225" w:lineRule="exact"/>
              <w:rPr>
                <w:sz w:val="20"/>
                <w:szCs w:val="20"/>
                <w:color w:val="auto"/>
              </w:rPr>
            </w:pPr>
            <w:r>
              <w:rPr>
                <w:rFonts w:ascii="Times New Roman" w:cs="Times New Roman" w:eastAsia="Times New Roman" w:hAnsi="Times New Roman"/>
                <w:sz w:val="20"/>
                <w:szCs w:val="20"/>
                <w:color w:val="auto"/>
              </w:rPr>
              <w:t>Net (loss) income attributable to Class A common stock per share - basic</w:t>
            </w:r>
          </w:p>
        </w:tc>
        <w:tc>
          <w:tcPr>
            <w:tcW w:w="14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114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300" w:type="dxa"/>
            <w:vAlign w:val="bottom"/>
            <w:shd w:val="clear" w:color="auto" w:fill="EAEAEA"/>
          </w:tcPr>
          <w:p>
            <w:pPr>
              <w:spacing w:after="0"/>
              <w:rPr>
                <w:sz w:val="19"/>
                <w:szCs w:val="19"/>
                <w:color w:val="auto"/>
              </w:rPr>
            </w:pPr>
          </w:p>
        </w:tc>
        <w:tc>
          <w:tcPr>
            <w:tcW w:w="104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200" w:type="dxa"/>
            <w:vAlign w:val="bottom"/>
            <w:shd w:val="clear" w:color="auto" w:fill="EAEAEA"/>
          </w:tcPr>
          <w:p>
            <w:pPr>
              <w:ind w:left="100"/>
              <w:spacing w:after="0"/>
              <w:rPr>
                <w:sz w:val="20"/>
                <w:szCs w:val="20"/>
                <w:color w:val="auto"/>
              </w:rPr>
            </w:pPr>
            <w:r>
              <w:rPr>
                <w:rFonts w:ascii="Times New Roman" w:cs="Times New Roman" w:eastAsia="Times New Roman" w:hAnsi="Times New Roman"/>
                <w:sz w:val="20"/>
                <w:szCs w:val="20"/>
                <w:color w:val="auto"/>
              </w:rPr>
              <w:t>and diluted</w:t>
            </w:r>
          </w:p>
        </w:tc>
        <w:tc>
          <w:tcPr>
            <w:tcW w:w="36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(3,026)</w:t>
            </w:r>
          </w:p>
        </w:tc>
        <w:tc>
          <w:tcPr>
            <w:tcW w:w="460" w:type="dxa"/>
            <w:vAlign w:val="bottom"/>
            <w:gridSpan w:val="2"/>
            <w:shd w:val="clear" w:color="auto" w:fill="EAEAEA"/>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592</w:t>
            </w:r>
          </w:p>
        </w:tc>
        <w:tc>
          <w:tcPr>
            <w:tcW w:w="80" w:type="dxa"/>
            <w:vAlign w:val="bottom"/>
            <w:shd w:val="clear" w:color="auto" w:fill="EAEAEA"/>
          </w:tcPr>
          <w:p>
            <w:pPr>
              <w:spacing w:after="0"/>
              <w:rPr>
                <w:sz w:val="23"/>
                <w:szCs w:val="23"/>
                <w:color w:val="auto"/>
              </w:rPr>
            </w:pPr>
          </w:p>
        </w:tc>
        <w:tc>
          <w:tcPr>
            <w:tcW w:w="0" w:type="dxa"/>
            <w:vAlign w:val="bottom"/>
          </w:tcPr>
          <w:p>
            <w:pPr>
              <w:spacing w:after="0"/>
              <w:rPr>
                <w:sz w:val="1"/>
                <w:szCs w:val="1"/>
                <w:color w:val="auto"/>
              </w:rPr>
            </w:pPr>
          </w:p>
        </w:tc>
      </w:tr>
      <w:tr>
        <w:trPr>
          <w:trHeight w:val="444"/>
        </w:trPr>
        <w:tc>
          <w:tcPr>
            <w:tcW w:w="6200" w:type="dxa"/>
            <w:vAlign w:val="bottom"/>
            <w:tcBorders>
              <w:top w:val="single" w:sz="8" w:color="EAEAEA"/>
            </w:tcBorders>
          </w:tcPr>
          <w:p>
            <w:pPr>
              <w:ind w:left="100"/>
              <w:spacing w:after="0"/>
              <w:rPr>
                <w:sz w:val="20"/>
                <w:szCs w:val="20"/>
                <w:color w:val="auto"/>
              </w:rPr>
            </w:pPr>
            <w:r>
              <w:rPr>
                <w:rFonts w:ascii="Times New Roman" w:cs="Times New Roman" w:eastAsia="Times New Roman" w:hAnsi="Times New Roman"/>
                <w:sz w:val="20"/>
                <w:szCs w:val="20"/>
                <w:color w:val="auto"/>
              </w:rPr>
              <w:t>Weighted-average shares of Class A common stock outstanding - basic and</w:t>
            </w:r>
          </w:p>
        </w:tc>
        <w:tc>
          <w:tcPr>
            <w:tcW w:w="140" w:type="dxa"/>
            <w:vAlign w:val="bottom"/>
            <w:tcBorders>
              <w:top w:val="single" w:sz="8" w:color="EAEAEA"/>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 w:type="dxa"/>
            <w:vAlign w:val="bottom"/>
            <w:tcBorders>
              <w:top w:val="single" w:sz="8" w:color="EAEAEA"/>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Borders>
              <w:top w:val="single" w:sz="8" w:color="EAEAEA"/>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6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diluted</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6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00" w:type="dxa"/>
            <w:vAlign w:val="bottom"/>
            <w:shd w:val="clear" w:color="auto" w:fill="EAEAEA"/>
          </w:tcPr>
          <w:p>
            <w:pPr>
              <w:ind w:left="400"/>
              <w:spacing w:after="0" w:line="225" w:lineRule="exact"/>
              <w:rPr>
                <w:sz w:val="20"/>
                <w:szCs w:val="20"/>
                <w:color w:val="auto"/>
              </w:rPr>
            </w:pPr>
            <w:r>
              <w:rPr>
                <w:rFonts w:ascii="Times New Roman" w:cs="Times New Roman" w:eastAsia="Times New Roman" w:hAnsi="Times New Roman"/>
                <w:sz w:val="20"/>
                <w:szCs w:val="20"/>
                <w:color w:val="auto"/>
              </w:rPr>
              <w:t>Net (loss) income per share of Class A common stock - basic and</w:t>
            </w:r>
          </w:p>
        </w:tc>
        <w:tc>
          <w:tcPr>
            <w:tcW w:w="14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114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300" w:type="dxa"/>
            <w:vAlign w:val="bottom"/>
            <w:shd w:val="clear" w:color="auto" w:fill="EAEAEA"/>
          </w:tcPr>
          <w:p>
            <w:pPr>
              <w:spacing w:after="0"/>
              <w:rPr>
                <w:sz w:val="19"/>
                <w:szCs w:val="19"/>
                <w:color w:val="auto"/>
              </w:rPr>
            </w:pPr>
          </w:p>
        </w:tc>
        <w:tc>
          <w:tcPr>
            <w:tcW w:w="104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200" w:type="dxa"/>
            <w:vAlign w:val="bottom"/>
            <w:shd w:val="clear" w:color="auto" w:fill="EAEAEA"/>
          </w:tcPr>
          <w:p>
            <w:pPr>
              <w:ind w:left="400"/>
              <w:spacing w:after="0"/>
              <w:rPr>
                <w:sz w:val="20"/>
                <w:szCs w:val="20"/>
                <w:color w:val="auto"/>
              </w:rPr>
            </w:pPr>
            <w:r>
              <w:rPr>
                <w:rFonts w:ascii="Times New Roman" w:cs="Times New Roman" w:eastAsia="Times New Roman" w:hAnsi="Times New Roman"/>
                <w:sz w:val="20"/>
                <w:szCs w:val="20"/>
                <w:color w:val="auto"/>
              </w:rPr>
              <w:t>diluted</w:t>
            </w:r>
          </w:p>
        </w:tc>
        <w:tc>
          <w:tcPr>
            <w:tcW w:w="36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(0.59)</w:t>
            </w:r>
          </w:p>
        </w:tc>
        <w:tc>
          <w:tcPr>
            <w:tcW w:w="460" w:type="dxa"/>
            <w:vAlign w:val="bottom"/>
            <w:gridSpan w:val="2"/>
            <w:shd w:val="clear" w:color="auto" w:fill="EAEAEA"/>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0.13</w:t>
            </w:r>
          </w:p>
        </w:tc>
        <w:tc>
          <w:tcPr>
            <w:tcW w:w="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Other comprehensive income, net of tax:</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0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Foreign currency translation adjustment</w:t>
            </w:r>
          </w:p>
        </w:tc>
        <w:tc>
          <w:tcPr>
            <w:tcW w:w="36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shd w:val="clear" w:color="auto" w:fill="EAEAEA"/>
          </w:tcPr>
          <w:p>
            <w:pPr>
              <w:spacing w:after="0"/>
              <w:rPr>
                <w:sz w:val="21"/>
                <w:szCs w:val="21"/>
                <w:color w:val="auto"/>
              </w:rPr>
            </w:pPr>
          </w:p>
        </w:tc>
        <w:tc>
          <w:tcPr>
            <w:tcW w:w="460" w:type="dxa"/>
            <w:vAlign w:val="bottom"/>
            <w:gridSpan w:val="2"/>
            <w:shd w:val="clear" w:color="auto" w:fill="EAEAEA"/>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62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Comprehensive (loss) income</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(19,368)</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0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Less: Comprehensive (loss) income attributable to non-controlling interest</w:t>
            </w:r>
          </w:p>
        </w:tc>
        <w:tc>
          <w:tcPr>
            <w:tcW w:w="140" w:type="dxa"/>
            <w:vAlign w:val="bottom"/>
            <w:shd w:val="clear" w:color="auto" w:fill="EAEAEA"/>
          </w:tcPr>
          <w:p>
            <w:pPr>
              <w:spacing w:after="0"/>
              <w:rPr>
                <w:sz w:val="21"/>
                <w:szCs w:val="21"/>
                <w:color w:val="auto"/>
              </w:rPr>
            </w:pPr>
          </w:p>
        </w:tc>
        <w:tc>
          <w:tcPr>
            <w:tcW w:w="220" w:type="dxa"/>
            <w:vAlign w:val="bottom"/>
            <w:shd w:val="clear" w:color="auto" w:fill="EAEAEA"/>
          </w:tcPr>
          <w:p>
            <w:pPr>
              <w:spacing w:after="0"/>
              <w:rPr>
                <w:sz w:val="21"/>
                <w:szCs w:val="21"/>
                <w:color w:val="auto"/>
              </w:rPr>
            </w:pPr>
          </w:p>
        </w:tc>
        <w:tc>
          <w:tcPr>
            <w:tcW w:w="122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(16,349)</w:t>
            </w:r>
          </w:p>
        </w:tc>
        <w:tc>
          <w:tcPr>
            <w:tcW w:w="160" w:type="dxa"/>
            <w:vAlign w:val="bottom"/>
            <w:shd w:val="clear" w:color="auto" w:fill="EAEAEA"/>
          </w:tcPr>
          <w:p>
            <w:pPr>
              <w:spacing w:after="0"/>
              <w:rPr>
                <w:sz w:val="21"/>
                <w:szCs w:val="21"/>
                <w:color w:val="auto"/>
              </w:rPr>
            </w:pPr>
          </w:p>
        </w:tc>
        <w:tc>
          <w:tcPr>
            <w:tcW w:w="300" w:type="dxa"/>
            <w:vAlign w:val="bottom"/>
            <w:shd w:val="clear" w:color="auto" w:fill="EAEAEA"/>
          </w:tcPr>
          <w:p>
            <w:pPr>
              <w:spacing w:after="0"/>
              <w:rPr>
                <w:sz w:val="21"/>
                <w:szCs w:val="21"/>
                <w:color w:val="auto"/>
              </w:rPr>
            </w:pPr>
          </w:p>
        </w:tc>
        <w:tc>
          <w:tcPr>
            <w:tcW w:w="1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3,940</w:t>
            </w:r>
          </w:p>
        </w:tc>
        <w:tc>
          <w:tcPr>
            <w:tcW w:w="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Comprehensive (loss) income attributable to GEN Restaurant Group, Inc.</w:t>
            </w:r>
          </w:p>
        </w:tc>
        <w:tc>
          <w:tcPr>
            <w:tcW w:w="140" w:type="dxa"/>
            <w:vAlign w:val="bottom"/>
          </w:tcPr>
          <w:p>
            <w:pPr>
              <w:spacing w:after="0"/>
              <w:rPr>
                <w:sz w:val="21"/>
                <w:szCs w:val="21"/>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(3,019)</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3917950</wp:posOffset>
            </wp:positionH>
            <wp:positionV relativeFrom="paragraph">
              <wp:posOffset>-6289675</wp:posOffset>
            </wp:positionV>
            <wp:extent cx="199072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5">
                      <a:extLst>
                        <a:ext uri="{28A0092B-C50C-407E-A947-70E740481C1C}"/>
                      </a:extLst>
                    </a:blip>
                    <a:srcRect/>
                    <a:stretch>
                      <a:fillRect/>
                    </a:stretch>
                  </pic:blipFill>
                  <pic:spPr bwMode="auto">
                    <a:xfrm>
                      <a:off x="0" y="0"/>
                      <a:ext cx="1990725" cy="38100"/>
                    </a:xfrm>
                    <a:prstGeom prst="rect">
                      <a:avLst/>
                    </a:prstGeom>
                    <a:noFill/>
                  </pic:spPr>
                </pic:pic>
              </a:graphicData>
            </a:graphic>
          </wp:anchor>
        </w:drawing>
      </w:r>
    </w:p>
    <w:p>
      <w:pPr>
        <w:spacing w:after="0" w:line="19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9540"/>
          </w:cols>
          <w:pgMar w:left="1260" w:top="529" w:right="1440" w:bottom="3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292929"/>
        </w:rPr>
        <w:t>F-5</w:t>
      </w:r>
    </w:p>
    <w:p>
      <w:pPr>
        <w:sectPr>
          <w:pgSz w:w="12240" w:h="15840" w:orient="portrait"/>
          <w:cols w:equalWidth="0" w:num="1">
            <w:col w:w="9540"/>
          </w:cols>
          <w:pgMar w:left="1260" w:top="529" w:right="1440" w:bottom="378" w:gutter="0" w:footer="0" w:header="0"/>
          <w:type w:val="continuous"/>
        </w:sectPr>
      </w:pPr>
    </w:p>
    <w:bookmarkStart w:id="71" w:name="page72"/>
    <w:bookmarkEnd w:id="71"/>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GEN RESTAURANT GROUP, INC.</w:t>
      </w:r>
    </w:p>
    <w:p>
      <w:pPr>
        <w:spacing w:after="0" w:line="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Permanent Equity (Deficit)</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Year ended December 31, 2025 and December 31, 2024</w:t>
      </w:r>
    </w:p>
    <w:p>
      <w:pPr>
        <w:spacing w:after="0" w:line="245" w:lineRule="exact"/>
        <w:rPr>
          <w:sz w:val="20"/>
          <w:szCs w:val="20"/>
          <w:color w:val="auto"/>
        </w:rPr>
      </w:pPr>
    </w:p>
    <w:tbl>
      <w:tblPr>
        <w:tblLayout w:type="fixed"/>
        <w:tblInd w:w="180" w:type="dxa"/>
        <w:tblCellMar>
          <w:top w:w="0" w:type="dxa"/>
          <w:left w:w="0" w:type="dxa"/>
          <w:bottom w:w="0" w:type="dxa"/>
          <w:right w:w="0" w:type="dxa"/>
        </w:tblCellMar>
      </w:tblPr>
      <w:tr>
        <w:trPr>
          <w:trHeight w:val="218"/>
        </w:trPr>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Stockhold</w:t>
            </w:r>
          </w:p>
        </w:tc>
      </w:tr>
      <w:tr>
        <w:trPr>
          <w:trHeight w:val="207"/>
        </w:trPr>
        <w:tc>
          <w:tcPr>
            <w:tcW w:w="5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ers'</w:t>
            </w:r>
          </w:p>
        </w:tc>
      </w:tr>
      <w:tr>
        <w:trPr>
          <w:trHeight w:val="207"/>
        </w:trPr>
        <w:tc>
          <w:tcPr>
            <w:tcW w:w="5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Addition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0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07"/>
        </w:trPr>
        <w:tc>
          <w:tcPr>
            <w:tcW w:w="5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3"/>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al</w:t>
            </w:r>
          </w:p>
        </w:tc>
        <w:tc>
          <w:tcPr>
            <w:tcW w:w="100" w:type="dxa"/>
            <w:vAlign w:val="bottom"/>
          </w:tcPr>
          <w:p>
            <w:pPr>
              <w:spacing w:after="0"/>
              <w:rPr>
                <w:sz w:val="17"/>
                <w:szCs w:val="17"/>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Retaine</w:t>
            </w:r>
          </w:p>
        </w:tc>
        <w:tc>
          <w:tcPr>
            <w:tcW w:w="200" w:type="dxa"/>
            <w:vAlign w:val="bottom"/>
          </w:tcPr>
          <w:p>
            <w:pPr>
              <w:spacing w:after="0"/>
              <w:rPr>
                <w:sz w:val="17"/>
                <w:szCs w:val="17"/>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Controlli</w:t>
            </w: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Members'</w:t>
            </w:r>
          </w:p>
        </w:tc>
      </w:tr>
      <w:tr>
        <w:trPr>
          <w:trHeight w:val="246"/>
        </w:trPr>
        <w:tc>
          <w:tcPr>
            <w:tcW w:w="5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Pr>
          <w:p>
            <w:pPr>
              <w:spacing w:after="0"/>
              <w:rPr>
                <w:sz w:val="21"/>
                <w:szCs w:val="21"/>
                <w:color w:val="auto"/>
              </w:rPr>
            </w:pPr>
          </w:p>
        </w:tc>
        <w:tc>
          <w:tcPr>
            <w:tcW w:w="8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4"/>
              </w:rPr>
              <w:t>ng</w:t>
            </w:r>
          </w:p>
        </w:tc>
        <w:tc>
          <w:tcPr>
            <w:tcW w:w="100" w:type="dxa"/>
            <w:vAlign w:val="bottom"/>
          </w:tcPr>
          <w:p>
            <w:pPr>
              <w:spacing w:after="0"/>
              <w:rPr>
                <w:sz w:val="21"/>
                <w:szCs w:val="21"/>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177"/>
        </w:trPr>
        <w:tc>
          <w:tcPr>
            <w:tcW w:w="5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8"/>
                <w:szCs w:val="18"/>
                <w:b w:val="1"/>
                <w:bCs w:val="1"/>
                <w:color w:val="auto"/>
                <w:w w:val="97"/>
              </w:rPr>
              <w:t>Amou</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Amou</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8"/>
                <w:szCs w:val="18"/>
                <w:b w:val="1"/>
                <w:bCs w:val="1"/>
                <w:color w:val="auto"/>
                <w:w w:val="98"/>
              </w:rPr>
              <w:t>Earning</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6"/>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except for share amounts )</w:t>
            </w:r>
          </w:p>
        </w:tc>
        <w:tc>
          <w:tcPr>
            <w:tcW w:w="12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1"/>
                <w:szCs w:val="21"/>
                <w:color w:val="auto"/>
              </w:rPr>
            </w:pP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84"/>
              </w:rPr>
              <w:t>s</w:t>
            </w:r>
          </w:p>
        </w:tc>
        <w:tc>
          <w:tcPr>
            <w:tcW w:w="200" w:type="dxa"/>
            <w:vAlign w:val="bottom"/>
          </w:tcPr>
          <w:p>
            <w:pPr>
              <w:spacing w:after="0"/>
              <w:rPr>
                <w:sz w:val="21"/>
                <w:szCs w:val="21"/>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00" w:type="dxa"/>
            <w:vAlign w:val="bottom"/>
          </w:tcPr>
          <w:p>
            <w:pPr>
              <w:spacing w:after="0"/>
              <w:rPr>
                <w:sz w:val="21"/>
                <w:szCs w:val="21"/>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(deficit)</w:t>
            </w:r>
          </w:p>
        </w:tc>
      </w:tr>
      <w:tr>
        <w:trPr>
          <w:trHeight w:val="177"/>
        </w:trPr>
        <w:tc>
          <w:tcPr>
            <w:tcW w:w="5440" w:type="dxa"/>
            <w:vAlign w:val="bottom"/>
            <w:tcBorders>
              <w:top w:val="single" w:sz="8" w:color="auto"/>
              <w:right w:val="single" w:sz="8" w:color="EAEAEA"/>
            </w:tcBorders>
            <w:shd w:val="clear" w:color="auto" w:fill="EAEAEA"/>
          </w:tcPr>
          <w:p>
            <w:pPr>
              <w:spacing w:after="0" w:line="177" w:lineRule="exact"/>
              <w:rPr>
                <w:sz w:val="20"/>
                <w:szCs w:val="20"/>
                <w:color w:val="auto"/>
              </w:rPr>
            </w:pPr>
            <w:r>
              <w:rPr>
                <w:rFonts w:ascii="Times New Roman" w:cs="Times New Roman" w:eastAsia="Times New Roman" w:hAnsi="Times New Roman"/>
                <w:sz w:val="18"/>
                <w:szCs w:val="18"/>
                <w:color w:val="auto"/>
              </w:rPr>
              <w:t>Balance, December 31, 2023</w:t>
            </w:r>
          </w:p>
        </w:tc>
        <w:tc>
          <w:tcPr>
            <w:tcW w:w="120" w:type="dxa"/>
            <w:vAlign w:val="bottom"/>
            <w:tcBorders>
              <w:top w:val="single" w:sz="8" w:color="EAEAEA"/>
            </w:tcBorders>
            <w:shd w:val="clear" w:color="auto" w:fill="EAEAEA"/>
          </w:tcPr>
          <w:p>
            <w:pPr>
              <w:spacing w:after="0"/>
              <w:rPr>
                <w:sz w:val="15"/>
                <w:szCs w:val="15"/>
                <w:color w:val="auto"/>
              </w:rPr>
            </w:pPr>
          </w:p>
        </w:tc>
        <w:tc>
          <w:tcPr>
            <w:tcW w:w="840" w:type="dxa"/>
            <w:vAlign w:val="bottom"/>
            <w:tcBorders>
              <w:top w:val="single" w:sz="8" w:color="auto"/>
            </w:tcBorders>
            <w:shd w:val="clear" w:color="auto" w:fill="EAEAEA"/>
          </w:tcPr>
          <w:p>
            <w:pPr>
              <w:spacing w:after="0"/>
              <w:rPr>
                <w:sz w:val="15"/>
                <w:szCs w:val="15"/>
                <w:color w:val="auto"/>
              </w:rPr>
            </w:pPr>
          </w:p>
        </w:tc>
        <w:tc>
          <w:tcPr>
            <w:tcW w:w="200" w:type="dxa"/>
            <w:vAlign w:val="bottom"/>
            <w:tcBorders>
              <w:top w:val="single" w:sz="8" w:color="EAEAEA"/>
            </w:tcBorders>
            <w:shd w:val="clear" w:color="auto" w:fill="EAEAEA"/>
          </w:tcPr>
          <w:p>
            <w:pPr>
              <w:spacing w:after="0"/>
              <w:rPr>
                <w:sz w:val="15"/>
                <w:szCs w:val="15"/>
                <w:color w:val="auto"/>
              </w:rPr>
            </w:pPr>
          </w:p>
        </w:tc>
        <w:tc>
          <w:tcPr>
            <w:tcW w:w="360" w:type="dxa"/>
            <w:vAlign w:val="bottom"/>
            <w:tcBorders>
              <w:top w:val="single" w:sz="8" w:color="auto"/>
            </w:tcBorders>
            <w:shd w:val="clear" w:color="auto" w:fill="EAEAEA"/>
          </w:tcPr>
          <w:p>
            <w:pPr>
              <w:spacing w:after="0"/>
              <w:rPr>
                <w:sz w:val="15"/>
                <w:szCs w:val="15"/>
                <w:color w:val="auto"/>
              </w:rPr>
            </w:pPr>
          </w:p>
        </w:tc>
        <w:tc>
          <w:tcPr>
            <w:tcW w:w="180" w:type="dxa"/>
            <w:vAlign w:val="bottom"/>
            <w:tcBorders>
              <w:top w:val="single" w:sz="8" w:color="auto"/>
              <w:right w:val="single" w:sz="8" w:color="EAEAEA"/>
            </w:tcBorders>
            <w:shd w:val="clear" w:color="auto" w:fill="EAEAEA"/>
          </w:tcPr>
          <w:p>
            <w:pPr>
              <w:spacing w:after="0"/>
              <w:rPr>
                <w:sz w:val="15"/>
                <w:szCs w:val="15"/>
                <w:color w:val="auto"/>
              </w:rPr>
            </w:pPr>
          </w:p>
        </w:tc>
        <w:tc>
          <w:tcPr>
            <w:tcW w:w="180" w:type="dxa"/>
            <w:vAlign w:val="bottom"/>
            <w:tcBorders>
              <w:top w:val="single" w:sz="8" w:color="EAEAEA"/>
            </w:tcBorders>
            <w:shd w:val="clear" w:color="auto" w:fill="EAEAEA"/>
          </w:tcPr>
          <w:p>
            <w:pPr>
              <w:spacing w:after="0"/>
              <w:rPr>
                <w:sz w:val="15"/>
                <w:szCs w:val="15"/>
                <w:color w:val="auto"/>
              </w:rPr>
            </w:pPr>
          </w:p>
        </w:tc>
        <w:tc>
          <w:tcPr>
            <w:tcW w:w="900" w:type="dxa"/>
            <w:vAlign w:val="bottom"/>
            <w:tcBorders>
              <w:top w:val="single" w:sz="8" w:color="auto"/>
              <w:right w:val="single" w:sz="8" w:color="EAEAEA"/>
            </w:tcBorders>
            <w:shd w:val="clear" w:color="auto" w:fill="EAEAEA"/>
          </w:tcPr>
          <w:p>
            <w:pPr>
              <w:jc w:val="right"/>
              <w:spacing w:after="0" w:line="177" w:lineRule="exact"/>
              <w:rPr>
                <w:sz w:val="20"/>
                <w:szCs w:val="20"/>
                <w:color w:val="auto"/>
              </w:rPr>
            </w:pPr>
            <w:r>
              <w:rPr>
                <w:rFonts w:ascii="Times New Roman" w:cs="Times New Roman" w:eastAsia="Times New Roman" w:hAnsi="Times New Roman"/>
                <w:sz w:val="18"/>
                <w:szCs w:val="18"/>
                <w:color w:val="auto"/>
              </w:rPr>
              <w:t>28,141,56</w:t>
            </w:r>
          </w:p>
        </w:tc>
        <w:tc>
          <w:tcPr>
            <w:tcW w:w="240" w:type="dxa"/>
            <w:vAlign w:val="bottom"/>
            <w:tcBorders>
              <w:top w:val="single" w:sz="8" w:color="EAEAEA"/>
            </w:tcBorders>
            <w:shd w:val="clear" w:color="auto" w:fill="EAEAEA"/>
          </w:tcPr>
          <w:p>
            <w:pPr>
              <w:spacing w:after="0"/>
              <w:rPr>
                <w:sz w:val="15"/>
                <w:szCs w:val="15"/>
                <w:color w:val="auto"/>
              </w:rPr>
            </w:pPr>
          </w:p>
        </w:tc>
        <w:tc>
          <w:tcPr>
            <w:tcW w:w="140" w:type="dxa"/>
            <w:vAlign w:val="bottom"/>
            <w:tcBorders>
              <w:top w:val="single" w:sz="8" w:color="auto"/>
            </w:tcBorders>
            <w:shd w:val="clear" w:color="auto" w:fill="EAEAEA"/>
          </w:tcPr>
          <w:p>
            <w:pPr>
              <w:spacing w:after="0"/>
              <w:rPr>
                <w:sz w:val="15"/>
                <w:szCs w:val="15"/>
                <w:color w:val="auto"/>
              </w:rPr>
            </w:pPr>
          </w:p>
        </w:tc>
        <w:tc>
          <w:tcPr>
            <w:tcW w:w="380" w:type="dxa"/>
            <w:vAlign w:val="bottom"/>
            <w:tcBorders>
              <w:top w:val="single" w:sz="8" w:color="auto"/>
            </w:tcBorders>
            <w:shd w:val="clear" w:color="auto" w:fill="EAEAEA"/>
          </w:tcPr>
          <w:p>
            <w:pPr>
              <w:spacing w:after="0"/>
              <w:rPr>
                <w:sz w:val="15"/>
                <w:szCs w:val="15"/>
                <w:color w:val="auto"/>
              </w:rPr>
            </w:pPr>
          </w:p>
        </w:tc>
        <w:tc>
          <w:tcPr>
            <w:tcW w:w="200" w:type="dxa"/>
            <w:vAlign w:val="bottom"/>
            <w:tcBorders>
              <w:top w:val="single" w:sz="8" w:color="EAEAEA"/>
            </w:tcBorders>
            <w:shd w:val="clear" w:color="auto" w:fill="EAEAEA"/>
          </w:tcPr>
          <w:p>
            <w:pPr>
              <w:spacing w:after="0"/>
              <w:rPr>
                <w:sz w:val="15"/>
                <w:szCs w:val="15"/>
                <w:color w:val="auto"/>
              </w:rPr>
            </w:pPr>
          </w:p>
        </w:tc>
        <w:tc>
          <w:tcPr>
            <w:tcW w:w="100" w:type="dxa"/>
            <w:vAlign w:val="bottom"/>
            <w:tcBorders>
              <w:top w:val="single" w:sz="8" w:color="auto"/>
            </w:tcBorders>
            <w:shd w:val="clear" w:color="auto" w:fill="EAEAEA"/>
          </w:tcPr>
          <w:p>
            <w:pPr>
              <w:spacing w:after="0"/>
              <w:rPr>
                <w:sz w:val="15"/>
                <w:szCs w:val="15"/>
                <w:color w:val="auto"/>
              </w:rPr>
            </w:pPr>
          </w:p>
        </w:tc>
        <w:tc>
          <w:tcPr>
            <w:tcW w:w="620" w:type="dxa"/>
            <w:vAlign w:val="bottom"/>
            <w:tcBorders>
              <w:top w:val="single" w:sz="8" w:color="auto"/>
            </w:tcBorders>
            <w:shd w:val="clear" w:color="auto" w:fill="EAEAEA"/>
          </w:tcPr>
          <w:p>
            <w:pPr>
              <w:spacing w:after="0"/>
              <w:rPr>
                <w:sz w:val="15"/>
                <w:szCs w:val="15"/>
                <w:color w:val="auto"/>
              </w:rPr>
            </w:pPr>
          </w:p>
        </w:tc>
        <w:tc>
          <w:tcPr>
            <w:tcW w:w="160" w:type="dxa"/>
            <w:vAlign w:val="bottom"/>
            <w:tcBorders>
              <w:top w:val="single" w:sz="8" w:color="EAEAEA"/>
            </w:tcBorders>
            <w:shd w:val="clear" w:color="auto" w:fill="EAEAEA"/>
          </w:tcPr>
          <w:p>
            <w:pPr>
              <w:spacing w:after="0"/>
              <w:rPr>
                <w:sz w:val="15"/>
                <w:szCs w:val="15"/>
                <w:color w:val="auto"/>
              </w:rPr>
            </w:pPr>
          </w:p>
        </w:tc>
        <w:tc>
          <w:tcPr>
            <w:tcW w:w="100" w:type="dxa"/>
            <w:vAlign w:val="bottom"/>
            <w:tcBorders>
              <w:top w:val="single" w:sz="8" w:color="EAEAEA"/>
            </w:tcBorders>
            <w:shd w:val="clear" w:color="auto" w:fill="EAEAEA"/>
          </w:tcPr>
          <w:p>
            <w:pPr>
              <w:spacing w:after="0"/>
              <w:rPr>
                <w:sz w:val="15"/>
                <w:szCs w:val="15"/>
                <w:color w:val="auto"/>
              </w:rPr>
            </w:pPr>
          </w:p>
        </w:tc>
        <w:tc>
          <w:tcPr>
            <w:tcW w:w="200" w:type="dxa"/>
            <w:vAlign w:val="bottom"/>
            <w:tcBorders>
              <w:top w:val="single" w:sz="8" w:color="auto"/>
            </w:tcBorders>
            <w:shd w:val="clear" w:color="auto" w:fill="EAEAEA"/>
          </w:tcPr>
          <w:p>
            <w:pPr>
              <w:spacing w:after="0"/>
              <w:rPr>
                <w:sz w:val="15"/>
                <w:szCs w:val="15"/>
                <w:color w:val="auto"/>
              </w:rPr>
            </w:pPr>
          </w:p>
        </w:tc>
        <w:tc>
          <w:tcPr>
            <w:tcW w:w="480" w:type="dxa"/>
            <w:vAlign w:val="bottom"/>
            <w:tcBorders>
              <w:top w:val="single" w:sz="8" w:color="auto"/>
            </w:tcBorders>
            <w:shd w:val="clear" w:color="auto" w:fill="EAEAEA"/>
          </w:tcPr>
          <w:p>
            <w:pPr>
              <w:spacing w:after="0"/>
              <w:rPr>
                <w:sz w:val="15"/>
                <w:szCs w:val="15"/>
                <w:color w:val="auto"/>
              </w:rPr>
            </w:pPr>
          </w:p>
        </w:tc>
        <w:tc>
          <w:tcPr>
            <w:tcW w:w="200" w:type="dxa"/>
            <w:vAlign w:val="bottom"/>
            <w:tcBorders>
              <w:top w:val="single" w:sz="8" w:color="EAEAEA"/>
            </w:tcBorders>
            <w:shd w:val="clear" w:color="auto" w:fill="EAEAEA"/>
          </w:tcPr>
          <w:p>
            <w:pPr>
              <w:spacing w:after="0"/>
              <w:rPr>
                <w:sz w:val="15"/>
                <w:szCs w:val="15"/>
                <w:color w:val="auto"/>
              </w:rPr>
            </w:pPr>
          </w:p>
        </w:tc>
        <w:tc>
          <w:tcPr>
            <w:tcW w:w="120" w:type="dxa"/>
            <w:vAlign w:val="bottom"/>
            <w:tcBorders>
              <w:top w:val="single" w:sz="8" w:color="auto"/>
            </w:tcBorders>
            <w:shd w:val="clear" w:color="auto" w:fill="EAEAEA"/>
          </w:tcPr>
          <w:p>
            <w:pPr>
              <w:spacing w:after="0"/>
              <w:rPr>
                <w:sz w:val="15"/>
                <w:szCs w:val="15"/>
                <w:color w:val="auto"/>
              </w:rPr>
            </w:pPr>
          </w:p>
        </w:tc>
        <w:tc>
          <w:tcPr>
            <w:tcW w:w="600" w:type="dxa"/>
            <w:vAlign w:val="bottom"/>
            <w:tcBorders>
              <w:top w:val="single" w:sz="8" w:color="auto"/>
            </w:tcBorders>
            <w:shd w:val="clear" w:color="auto" w:fill="EAEAEA"/>
          </w:tcPr>
          <w:p>
            <w:pPr>
              <w:spacing w:after="0"/>
              <w:rPr>
                <w:sz w:val="15"/>
                <w:szCs w:val="15"/>
                <w:color w:val="auto"/>
              </w:rPr>
            </w:pPr>
          </w:p>
        </w:tc>
        <w:tc>
          <w:tcPr>
            <w:tcW w:w="280" w:type="dxa"/>
            <w:vAlign w:val="bottom"/>
            <w:tcBorders>
              <w:top w:val="single" w:sz="8" w:color="EAEAEA"/>
            </w:tcBorders>
            <w:shd w:val="clear" w:color="auto" w:fill="EAEAEA"/>
          </w:tcPr>
          <w:p>
            <w:pPr>
              <w:spacing w:after="0"/>
              <w:rPr>
                <w:sz w:val="15"/>
                <w:szCs w:val="15"/>
                <w:color w:val="auto"/>
              </w:rPr>
            </w:pPr>
          </w:p>
        </w:tc>
        <w:tc>
          <w:tcPr>
            <w:tcW w:w="100" w:type="dxa"/>
            <w:vAlign w:val="bottom"/>
            <w:tcBorders>
              <w:top w:val="single" w:sz="8" w:color="auto"/>
            </w:tcBorders>
            <w:shd w:val="clear" w:color="auto" w:fill="EAEAEA"/>
          </w:tcPr>
          <w:p>
            <w:pPr>
              <w:spacing w:after="0"/>
              <w:rPr>
                <w:sz w:val="15"/>
                <w:szCs w:val="15"/>
                <w:color w:val="auto"/>
              </w:rPr>
            </w:pPr>
          </w:p>
        </w:tc>
        <w:tc>
          <w:tcPr>
            <w:tcW w:w="740" w:type="dxa"/>
            <w:vAlign w:val="bottom"/>
            <w:tcBorders>
              <w:top w:val="single" w:sz="8" w:color="auto"/>
            </w:tcBorders>
            <w:shd w:val="clear" w:color="auto" w:fill="EAEAEA"/>
          </w:tcPr>
          <w:p>
            <w:pPr>
              <w:spacing w:after="0"/>
              <w:rPr>
                <w:sz w:val="15"/>
                <w:szCs w:val="15"/>
                <w:color w:val="auto"/>
              </w:rPr>
            </w:pPr>
          </w:p>
        </w:tc>
        <w:tc>
          <w:tcPr>
            <w:tcW w:w="80" w:type="dxa"/>
            <w:vAlign w:val="bottom"/>
            <w:tcBorders>
              <w:top w:val="single" w:sz="8" w:color="EAEAEA"/>
            </w:tcBorders>
            <w:shd w:val="clear" w:color="auto" w:fill="EAEAEA"/>
          </w:tcPr>
          <w:p>
            <w:pPr>
              <w:spacing w:after="0"/>
              <w:rPr>
                <w:sz w:val="15"/>
                <w:szCs w:val="15"/>
                <w:color w:val="auto"/>
              </w:rPr>
            </w:pPr>
          </w:p>
        </w:tc>
      </w:tr>
      <w:tr>
        <w:trPr>
          <w:trHeight w:val="246"/>
        </w:trPr>
        <w:tc>
          <w:tcPr>
            <w:tcW w:w="5440" w:type="dxa"/>
            <w:vAlign w:val="bottom"/>
            <w:tcBorders>
              <w:right w:val="single" w:sz="8" w:color="EAEAEA"/>
            </w:tcBorders>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8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4,140,000</w:t>
            </w:r>
          </w:p>
        </w:tc>
        <w:tc>
          <w:tcPr>
            <w:tcW w:w="200" w:type="dxa"/>
            <w:vAlign w:val="bottom"/>
            <w:shd w:val="clear" w:color="auto" w:fill="EAEAEA"/>
          </w:tcPr>
          <w:p>
            <w:pPr>
              <w:spacing w:after="0"/>
              <w:rPr>
                <w:sz w:val="21"/>
                <w:szCs w:val="21"/>
                <w:color w:val="auto"/>
              </w:rPr>
            </w:pPr>
          </w:p>
        </w:tc>
        <w:tc>
          <w:tcPr>
            <w:tcW w:w="360" w:type="dxa"/>
            <w:vAlign w:val="bottom"/>
            <w:shd w:val="clear" w:color="auto" w:fill="EAEAEA"/>
          </w:tcPr>
          <w:p>
            <w:pPr>
              <w:jc w:val="right"/>
              <w:ind w:right="19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right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EAEAEA"/>
          </w:tcPr>
          <w:p>
            <w:pPr>
              <w:spacing w:after="0"/>
              <w:rPr>
                <w:sz w:val="21"/>
                <w:szCs w:val="21"/>
                <w:color w:val="auto"/>
              </w:rPr>
            </w:pPr>
          </w:p>
        </w:tc>
        <w:tc>
          <w:tcPr>
            <w:tcW w:w="900" w:type="dxa"/>
            <w:vAlign w:val="bottom"/>
            <w:tcBorders>
              <w:right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EAEAEA"/>
          </w:tcPr>
          <w:p>
            <w:pPr>
              <w:spacing w:after="0"/>
              <w:rPr>
                <w:sz w:val="21"/>
                <w:szCs w:val="21"/>
                <w:color w:val="auto"/>
              </w:rPr>
            </w:pPr>
          </w:p>
        </w:tc>
        <w:tc>
          <w:tcPr>
            <w:tcW w:w="1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7,112</w:t>
            </w:r>
          </w:p>
        </w:tc>
        <w:tc>
          <w:tcPr>
            <w:tcW w:w="16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200" w:type="dxa"/>
            <w:vAlign w:val="bottom"/>
            <w:shd w:val="clear" w:color="auto" w:fill="EAEAEA"/>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shd w:val="clear" w:color="auto" w:fill="EAEAEA"/>
          </w:tcPr>
          <w:p>
            <w:pPr>
              <w:spacing w:after="0"/>
              <w:rPr>
                <w:sz w:val="21"/>
                <w:szCs w:val="21"/>
                <w:color w:val="auto"/>
              </w:rPr>
            </w:pPr>
          </w:p>
        </w:tc>
        <w:tc>
          <w:tcPr>
            <w:tcW w:w="1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28,552</w:t>
            </w:r>
          </w:p>
        </w:tc>
        <w:tc>
          <w:tcPr>
            <w:tcW w:w="280" w:type="dxa"/>
            <w:vAlign w:val="bottom"/>
            <w:shd w:val="clear" w:color="auto" w:fill="EAEAEA"/>
          </w:tcPr>
          <w:p>
            <w:pPr>
              <w:spacing w:after="0"/>
              <w:rPr>
                <w:sz w:val="21"/>
                <w:szCs w:val="21"/>
                <w:color w:val="auto"/>
              </w:rPr>
            </w:pPr>
          </w:p>
        </w:tc>
        <w:tc>
          <w:tcPr>
            <w:tcW w:w="1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36,018</w:t>
            </w:r>
          </w:p>
        </w:tc>
        <w:tc>
          <w:tcPr>
            <w:tcW w:w="80" w:type="dxa"/>
            <w:vAlign w:val="bottom"/>
            <w:shd w:val="clear" w:color="auto" w:fill="EAEAEA"/>
          </w:tcPr>
          <w:p>
            <w:pPr>
              <w:spacing w:after="0"/>
              <w:rPr>
                <w:sz w:val="21"/>
                <w:szCs w:val="21"/>
                <w:color w:val="auto"/>
              </w:rPr>
            </w:pPr>
          </w:p>
        </w:tc>
      </w:tr>
      <w:tr>
        <w:trPr>
          <w:trHeight w:val="221"/>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80" w:type="dxa"/>
            <w:vAlign w:val="bottom"/>
          </w:tcPr>
          <w:p>
            <w:pPr>
              <w:spacing w:after="0"/>
              <w:rPr>
                <w:sz w:val="19"/>
                <w:szCs w:val="19"/>
                <w:color w:val="auto"/>
              </w:rPr>
            </w:pPr>
          </w:p>
        </w:tc>
      </w:tr>
      <w:tr>
        <w:trPr>
          <w:trHeight w:val="221"/>
        </w:trPr>
        <w:tc>
          <w:tcPr>
            <w:tcW w:w="5440" w:type="dxa"/>
            <w:vAlign w:val="bottom"/>
            <w:tcBorders>
              <w:right w:val="single" w:sz="8" w:color="EAEAEA"/>
            </w:tcBorders>
            <w:shd w:val="clear" w:color="auto" w:fill="EAEAEA"/>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EAEAEA"/>
          </w:tcPr>
          <w:p>
            <w:pPr>
              <w:spacing w:after="0"/>
              <w:rPr>
                <w:sz w:val="19"/>
                <w:szCs w:val="19"/>
                <w:color w:val="auto"/>
              </w:rPr>
            </w:pPr>
          </w:p>
        </w:tc>
        <w:tc>
          <w:tcPr>
            <w:tcW w:w="840" w:type="dxa"/>
            <w:vAlign w:val="bottom"/>
            <w:shd w:val="clear" w:color="auto" w:fill="EAEAEA"/>
          </w:tcPr>
          <w:p>
            <w:pPr>
              <w:spacing w:after="0"/>
              <w:rPr>
                <w:sz w:val="19"/>
                <w:szCs w:val="19"/>
                <w:color w:val="auto"/>
              </w:rPr>
            </w:pPr>
          </w:p>
        </w:tc>
        <w:tc>
          <w:tcPr>
            <w:tcW w:w="200" w:type="dxa"/>
            <w:vAlign w:val="bottom"/>
            <w:shd w:val="clear" w:color="auto" w:fill="EAEAEA"/>
          </w:tcPr>
          <w:p>
            <w:pPr>
              <w:spacing w:after="0"/>
              <w:rPr>
                <w:sz w:val="19"/>
                <w:szCs w:val="19"/>
                <w:color w:val="auto"/>
              </w:rPr>
            </w:pPr>
          </w:p>
        </w:tc>
        <w:tc>
          <w:tcPr>
            <w:tcW w:w="360" w:type="dxa"/>
            <w:vAlign w:val="bottom"/>
            <w:shd w:val="clear" w:color="auto" w:fill="EAEAEA"/>
          </w:tcPr>
          <w:p>
            <w:pPr>
              <w:spacing w:after="0"/>
              <w:rPr>
                <w:sz w:val="19"/>
                <w:szCs w:val="19"/>
                <w:color w:val="auto"/>
              </w:rPr>
            </w:pPr>
          </w:p>
        </w:tc>
        <w:tc>
          <w:tcPr>
            <w:tcW w:w="180" w:type="dxa"/>
            <w:vAlign w:val="bottom"/>
            <w:tcBorders>
              <w:right w:val="single" w:sz="8" w:color="EAEAEA"/>
            </w:tcBorders>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900" w:type="dxa"/>
            <w:vAlign w:val="bottom"/>
            <w:tcBorders>
              <w:right w:val="single" w:sz="8" w:color="EAEAEA"/>
            </w:tcBorders>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380" w:type="dxa"/>
            <w:vAlign w:val="bottom"/>
            <w:shd w:val="clear" w:color="auto" w:fill="EAEAEA"/>
          </w:tcPr>
          <w:p>
            <w:pPr>
              <w:spacing w:after="0"/>
              <w:rPr>
                <w:sz w:val="19"/>
                <w:szCs w:val="19"/>
                <w:color w:val="auto"/>
              </w:rPr>
            </w:pPr>
          </w:p>
        </w:tc>
        <w:tc>
          <w:tcPr>
            <w:tcW w:w="20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6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6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200" w:type="dxa"/>
            <w:vAlign w:val="bottom"/>
            <w:shd w:val="clear" w:color="auto" w:fill="EAEAEA"/>
          </w:tcPr>
          <w:p>
            <w:pPr>
              <w:spacing w:after="0"/>
              <w:rPr>
                <w:sz w:val="19"/>
                <w:szCs w:val="19"/>
                <w:color w:val="auto"/>
              </w:rPr>
            </w:pPr>
          </w:p>
        </w:tc>
        <w:tc>
          <w:tcPr>
            <w:tcW w:w="480" w:type="dxa"/>
            <w:vAlign w:val="bottom"/>
            <w:shd w:val="clear" w:color="auto" w:fill="EAEAEA"/>
          </w:tcPr>
          <w:p>
            <w:pPr>
              <w:spacing w:after="0"/>
              <w:rPr>
                <w:sz w:val="19"/>
                <w:szCs w:val="19"/>
                <w:color w:val="auto"/>
              </w:rPr>
            </w:pPr>
          </w:p>
        </w:tc>
        <w:tc>
          <w:tcPr>
            <w:tcW w:w="20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600" w:type="dxa"/>
            <w:vAlign w:val="bottom"/>
            <w:shd w:val="clear" w:color="auto" w:fill="EAEAEA"/>
          </w:tcPr>
          <w:p>
            <w:pPr>
              <w:spacing w:after="0"/>
              <w:rPr>
                <w:sz w:val="19"/>
                <w:szCs w:val="19"/>
                <w:color w:val="auto"/>
              </w:rPr>
            </w:pPr>
          </w:p>
        </w:tc>
        <w:tc>
          <w:tcPr>
            <w:tcW w:w="28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7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80" w:type="dxa"/>
            <w:vAlign w:val="bottom"/>
            <w:shd w:val="clear" w:color="auto" w:fill="EAEAEA"/>
          </w:tcPr>
          <w:p>
            <w:pPr>
              <w:spacing w:after="0"/>
              <w:rPr>
                <w:sz w:val="19"/>
                <w:szCs w:val="19"/>
                <w:color w:val="auto"/>
              </w:rPr>
            </w:pPr>
          </w:p>
        </w:tc>
      </w:tr>
      <w:tr>
        <w:trPr>
          <w:trHeight w:val="182"/>
        </w:trPr>
        <w:tc>
          <w:tcPr>
            <w:tcW w:w="5440" w:type="dxa"/>
            <w:vAlign w:val="bottom"/>
          </w:tcPr>
          <w:p>
            <w:pPr>
              <w:ind w:left="100"/>
              <w:spacing w:after="0" w:line="182" w:lineRule="exact"/>
              <w:rPr>
                <w:sz w:val="20"/>
                <w:szCs w:val="20"/>
                <w:color w:val="auto"/>
              </w:rPr>
            </w:pPr>
            <w:r>
              <w:rPr>
                <w:rFonts w:ascii="Times New Roman" w:cs="Times New Roman" w:eastAsia="Times New Roman" w:hAnsi="Times New Roman"/>
                <w:sz w:val="18"/>
                <w:szCs w:val="18"/>
                <w:color w:val="auto"/>
              </w:rPr>
              <w:t>Adjustment to tax liabilities and assets under Tax Receivable</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6"/>
        </w:trPr>
        <w:tc>
          <w:tcPr>
            <w:tcW w:w="5440" w:type="dxa"/>
            <w:vAlign w:val="bottom"/>
          </w:tcPr>
          <w:p>
            <w:pPr>
              <w:ind w:left="100"/>
              <w:spacing w:after="0" w:line="245" w:lineRule="exact"/>
              <w:rPr>
                <w:sz w:val="20"/>
                <w:szCs w:val="20"/>
                <w:color w:val="auto"/>
              </w:rPr>
            </w:pPr>
            <w:r>
              <w:rPr>
                <w:rFonts w:ascii="Times New Roman" w:cs="Times New Roman" w:eastAsia="Times New Roman" w:hAnsi="Times New Roman"/>
                <w:sz w:val="18"/>
                <w:szCs w:val="18"/>
                <w:color w:val="auto"/>
              </w:rPr>
              <w:t xml:space="preserve">Agreement ("TRA") </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(1,288)</w:t>
            </w:r>
          </w:p>
        </w:tc>
      </w:tr>
      <w:tr>
        <w:trPr>
          <w:trHeight w:val="221"/>
        </w:trPr>
        <w:tc>
          <w:tcPr>
            <w:tcW w:w="5440" w:type="dxa"/>
            <w:vAlign w:val="bottom"/>
            <w:tcBorders>
              <w:right w:val="single" w:sz="8" w:color="EAEAEA"/>
            </w:tcBorders>
            <w:shd w:val="clear" w:color="auto" w:fill="EAEAEA"/>
          </w:tcPr>
          <w:p>
            <w:pPr>
              <w:ind w:left="100"/>
              <w:spacing w:after="0"/>
              <w:rPr>
                <w:sz w:val="20"/>
                <w:szCs w:val="20"/>
                <w:color w:val="auto"/>
              </w:rPr>
            </w:pPr>
            <w:r>
              <w:rPr>
                <w:rFonts w:ascii="Times New Roman" w:cs="Times New Roman" w:eastAsia="Times New Roman" w:hAnsi="Times New Roman"/>
                <w:sz w:val="18"/>
                <w:szCs w:val="18"/>
                <w:color w:val="auto"/>
              </w:rPr>
              <w:t>Shares issued upon RSU vesting</w:t>
            </w:r>
          </w:p>
        </w:tc>
        <w:tc>
          <w:tcPr>
            <w:tcW w:w="96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280,817</w:t>
            </w:r>
          </w:p>
        </w:tc>
        <w:tc>
          <w:tcPr>
            <w:tcW w:w="200" w:type="dxa"/>
            <w:vAlign w:val="bottom"/>
            <w:shd w:val="clear" w:color="auto" w:fill="EAEAEA"/>
          </w:tcPr>
          <w:p>
            <w:pPr>
              <w:spacing w:after="0"/>
              <w:rPr>
                <w:sz w:val="19"/>
                <w:szCs w:val="19"/>
                <w:color w:val="auto"/>
              </w:rPr>
            </w:pPr>
          </w:p>
        </w:tc>
        <w:tc>
          <w:tcPr>
            <w:tcW w:w="360" w:type="dxa"/>
            <w:vAlign w:val="bottom"/>
            <w:shd w:val="clear" w:color="auto" w:fill="EAEAEA"/>
          </w:tcPr>
          <w:p>
            <w:pPr>
              <w:spacing w:after="0"/>
              <w:rPr>
                <w:sz w:val="19"/>
                <w:szCs w:val="19"/>
                <w:color w:val="auto"/>
              </w:rPr>
            </w:pPr>
          </w:p>
        </w:tc>
        <w:tc>
          <w:tcPr>
            <w:tcW w:w="180" w:type="dxa"/>
            <w:vAlign w:val="bottom"/>
            <w:tcBorders>
              <w:right w:val="single" w:sz="8" w:color="EAEAEA"/>
            </w:tcBorders>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900" w:type="dxa"/>
            <w:vAlign w:val="bottom"/>
            <w:tcBorders>
              <w:right w:val="single" w:sz="8" w:color="EAEAEA"/>
            </w:tcBorders>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380" w:type="dxa"/>
            <w:vAlign w:val="bottom"/>
            <w:shd w:val="clear" w:color="auto" w:fill="EAEAEA"/>
          </w:tcPr>
          <w:p>
            <w:pPr>
              <w:spacing w:after="0"/>
              <w:rPr>
                <w:sz w:val="19"/>
                <w:szCs w:val="19"/>
                <w:color w:val="auto"/>
              </w:rPr>
            </w:pPr>
          </w:p>
        </w:tc>
        <w:tc>
          <w:tcPr>
            <w:tcW w:w="20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62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200" w:type="dxa"/>
            <w:vAlign w:val="bottom"/>
            <w:shd w:val="clear" w:color="auto" w:fill="EAEAEA"/>
          </w:tcPr>
          <w:p>
            <w:pPr>
              <w:spacing w:after="0"/>
              <w:rPr>
                <w:sz w:val="19"/>
                <w:szCs w:val="19"/>
                <w:color w:val="auto"/>
              </w:rPr>
            </w:pPr>
          </w:p>
        </w:tc>
        <w:tc>
          <w:tcPr>
            <w:tcW w:w="480" w:type="dxa"/>
            <w:vAlign w:val="bottom"/>
            <w:shd w:val="clear" w:color="auto" w:fill="EAEAEA"/>
          </w:tcPr>
          <w:p>
            <w:pPr>
              <w:spacing w:after="0"/>
              <w:rPr>
                <w:sz w:val="19"/>
                <w:szCs w:val="19"/>
                <w:color w:val="auto"/>
              </w:rPr>
            </w:pPr>
          </w:p>
        </w:tc>
        <w:tc>
          <w:tcPr>
            <w:tcW w:w="20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600" w:type="dxa"/>
            <w:vAlign w:val="bottom"/>
            <w:shd w:val="clear" w:color="auto" w:fill="EAEAEA"/>
          </w:tcPr>
          <w:p>
            <w:pPr>
              <w:spacing w:after="0"/>
              <w:rPr>
                <w:sz w:val="19"/>
                <w:szCs w:val="19"/>
                <w:color w:val="auto"/>
              </w:rPr>
            </w:pPr>
          </w:p>
        </w:tc>
        <w:tc>
          <w:tcPr>
            <w:tcW w:w="28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7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AEAEA"/>
          </w:tcPr>
          <w:p>
            <w:pPr>
              <w:spacing w:after="0"/>
              <w:rPr>
                <w:sz w:val="19"/>
                <w:szCs w:val="19"/>
                <w:color w:val="auto"/>
              </w:rPr>
            </w:pPr>
          </w:p>
        </w:tc>
      </w:tr>
      <w:tr>
        <w:trPr>
          <w:trHeight w:val="221"/>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Exchange of noncontrolling interest for Class A common stock</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254,654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(254,654)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r>
      <w:tr>
        <w:trPr>
          <w:trHeight w:val="182"/>
        </w:trPr>
        <w:tc>
          <w:tcPr>
            <w:tcW w:w="5440" w:type="dxa"/>
            <w:vAlign w:val="bottom"/>
            <w:tcBorders>
              <w:right w:val="single" w:sz="8" w:color="EAEAEA"/>
            </w:tcBorders>
            <w:shd w:val="clear" w:color="auto" w:fill="EAEAEA"/>
          </w:tcPr>
          <w:p>
            <w:pPr>
              <w:ind w:left="100"/>
              <w:spacing w:after="0" w:line="182" w:lineRule="exact"/>
              <w:rPr>
                <w:sz w:val="20"/>
                <w:szCs w:val="20"/>
                <w:color w:val="auto"/>
              </w:rPr>
            </w:pPr>
            <w:r>
              <w:rPr>
                <w:rFonts w:ascii="Times New Roman" w:cs="Times New Roman" w:eastAsia="Times New Roman" w:hAnsi="Times New Roman"/>
                <w:sz w:val="18"/>
                <w:szCs w:val="18"/>
                <w:color w:val="auto"/>
                <w:w w:val="99"/>
              </w:rPr>
              <w:t>Conversion of related party loans and advances from members to Class A</w:t>
            </w:r>
          </w:p>
        </w:tc>
        <w:tc>
          <w:tcPr>
            <w:tcW w:w="120" w:type="dxa"/>
            <w:vAlign w:val="bottom"/>
            <w:shd w:val="clear" w:color="auto" w:fill="EAEAEA"/>
          </w:tcPr>
          <w:p>
            <w:pPr>
              <w:spacing w:after="0"/>
              <w:rPr>
                <w:sz w:val="15"/>
                <w:szCs w:val="15"/>
                <w:color w:val="auto"/>
              </w:rPr>
            </w:pPr>
          </w:p>
        </w:tc>
        <w:tc>
          <w:tcPr>
            <w:tcW w:w="840" w:type="dxa"/>
            <w:vAlign w:val="bottom"/>
            <w:shd w:val="clear" w:color="auto" w:fill="EAEAEA"/>
          </w:tcPr>
          <w:p>
            <w:pPr>
              <w:spacing w:after="0"/>
              <w:rPr>
                <w:sz w:val="15"/>
                <w:szCs w:val="15"/>
                <w:color w:val="auto"/>
              </w:rPr>
            </w:pPr>
          </w:p>
        </w:tc>
        <w:tc>
          <w:tcPr>
            <w:tcW w:w="200" w:type="dxa"/>
            <w:vAlign w:val="bottom"/>
            <w:shd w:val="clear" w:color="auto" w:fill="EAEAEA"/>
          </w:tcPr>
          <w:p>
            <w:pPr>
              <w:spacing w:after="0"/>
              <w:rPr>
                <w:sz w:val="15"/>
                <w:szCs w:val="15"/>
                <w:color w:val="auto"/>
              </w:rPr>
            </w:pPr>
          </w:p>
        </w:tc>
        <w:tc>
          <w:tcPr>
            <w:tcW w:w="360" w:type="dxa"/>
            <w:vAlign w:val="bottom"/>
            <w:shd w:val="clear" w:color="auto" w:fill="EAEAEA"/>
          </w:tcPr>
          <w:p>
            <w:pPr>
              <w:spacing w:after="0"/>
              <w:rPr>
                <w:sz w:val="15"/>
                <w:szCs w:val="15"/>
                <w:color w:val="auto"/>
              </w:rPr>
            </w:pPr>
          </w:p>
        </w:tc>
        <w:tc>
          <w:tcPr>
            <w:tcW w:w="180" w:type="dxa"/>
            <w:vAlign w:val="bottom"/>
            <w:tcBorders>
              <w:right w:val="single" w:sz="8" w:color="EAEAEA"/>
            </w:tcBorders>
            <w:shd w:val="clear" w:color="auto" w:fill="EAEAEA"/>
          </w:tcPr>
          <w:p>
            <w:pPr>
              <w:spacing w:after="0"/>
              <w:rPr>
                <w:sz w:val="15"/>
                <w:szCs w:val="15"/>
                <w:color w:val="auto"/>
              </w:rPr>
            </w:pPr>
          </w:p>
        </w:tc>
        <w:tc>
          <w:tcPr>
            <w:tcW w:w="180" w:type="dxa"/>
            <w:vAlign w:val="bottom"/>
            <w:shd w:val="clear" w:color="auto" w:fill="EAEAEA"/>
          </w:tcPr>
          <w:p>
            <w:pPr>
              <w:spacing w:after="0"/>
              <w:rPr>
                <w:sz w:val="15"/>
                <w:szCs w:val="15"/>
                <w:color w:val="auto"/>
              </w:rPr>
            </w:pPr>
          </w:p>
        </w:tc>
        <w:tc>
          <w:tcPr>
            <w:tcW w:w="900" w:type="dxa"/>
            <w:vAlign w:val="bottom"/>
            <w:tcBorders>
              <w:right w:val="single" w:sz="8" w:color="EAEAEA"/>
            </w:tcBorders>
            <w:shd w:val="clear" w:color="auto" w:fill="EAEAEA"/>
          </w:tcPr>
          <w:p>
            <w:pPr>
              <w:spacing w:after="0"/>
              <w:rPr>
                <w:sz w:val="15"/>
                <w:szCs w:val="15"/>
                <w:color w:val="auto"/>
              </w:rPr>
            </w:pPr>
          </w:p>
        </w:tc>
        <w:tc>
          <w:tcPr>
            <w:tcW w:w="240" w:type="dxa"/>
            <w:vAlign w:val="bottom"/>
            <w:shd w:val="clear" w:color="auto" w:fill="EAEAEA"/>
          </w:tcPr>
          <w:p>
            <w:pPr>
              <w:spacing w:after="0"/>
              <w:rPr>
                <w:sz w:val="15"/>
                <w:szCs w:val="15"/>
                <w:color w:val="auto"/>
              </w:rPr>
            </w:pPr>
          </w:p>
        </w:tc>
        <w:tc>
          <w:tcPr>
            <w:tcW w:w="140" w:type="dxa"/>
            <w:vAlign w:val="bottom"/>
            <w:shd w:val="clear" w:color="auto" w:fill="EAEAEA"/>
          </w:tcPr>
          <w:p>
            <w:pPr>
              <w:spacing w:after="0"/>
              <w:rPr>
                <w:sz w:val="15"/>
                <w:szCs w:val="15"/>
                <w:color w:val="auto"/>
              </w:rPr>
            </w:pPr>
          </w:p>
        </w:tc>
        <w:tc>
          <w:tcPr>
            <w:tcW w:w="380" w:type="dxa"/>
            <w:vAlign w:val="bottom"/>
            <w:shd w:val="clear" w:color="auto" w:fill="EAEAEA"/>
          </w:tcPr>
          <w:p>
            <w:pPr>
              <w:spacing w:after="0"/>
              <w:rPr>
                <w:sz w:val="15"/>
                <w:szCs w:val="15"/>
                <w:color w:val="auto"/>
              </w:rPr>
            </w:pPr>
          </w:p>
        </w:tc>
        <w:tc>
          <w:tcPr>
            <w:tcW w:w="200" w:type="dxa"/>
            <w:vAlign w:val="bottom"/>
            <w:shd w:val="clear" w:color="auto" w:fill="EAEAEA"/>
          </w:tcPr>
          <w:p>
            <w:pPr>
              <w:spacing w:after="0"/>
              <w:rPr>
                <w:sz w:val="15"/>
                <w:szCs w:val="15"/>
                <w:color w:val="auto"/>
              </w:rPr>
            </w:pPr>
          </w:p>
        </w:tc>
        <w:tc>
          <w:tcPr>
            <w:tcW w:w="100" w:type="dxa"/>
            <w:vAlign w:val="bottom"/>
            <w:shd w:val="clear" w:color="auto" w:fill="EAEAEA"/>
          </w:tcPr>
          <w:p>
            <w:pPr>
              <w:spacing w:after="0"/>
              <w:rPr>
                <w:sz w:val="15"/>
                <w:szCs w:val="15"/>
                <w:color w:val="auto"/>
              </w:rPr>
            </w:pPr>
          </w:p>
        </w:tc>
        <w:tc>
          <w:tcPr>
            <w:tcW w:w="620" w:type="dxa"/>
            <w:vAlign w:val="bottom"/>
            <w:shd w:val="clear" w:color="auto" w:fill="EAEAEA"/>
          </w:tcPr>
          <w:p>
            <w:pPr>
              <w:spacing w:after="0"/>
              <w:rPr>
                <w:sz w:val="15"/>
                <w:szCs w:val="15"/>
                <w:color w:val="auto"/>
              </w:rPr>
            </w:pPr>
          </w:p>
        </w:tc>
        <w:tc>
          <w:tcPr>
            <w:tcW w:w="160" w:type="dxa"/>
            <w:vAlign w:val="bottom"/>
            <w:shd w:val="clear" w:color="auto" w:fill="EAEAEA"/>
          </w:tcPr>
          <w:p>
            <w:pPr>
              <w:spacing w:after="0"/>
              <w:rPr>
                <w:sz w:val="15"/>
                <w:szCs w:val="15"/>
                <w:color w:val="auto"/>
              </w:rPr>
            </w:pPr>
          </w:p>
        </w:tc>
        <w:tc>
          <w:tcPr>
            <w:tcW w:w="100" w:type="dxa"/>
            <w:vAlign w:val="bottom"/>
            <w:shd w:val="clear" w:color="auto" w:fill="EAEAEA"/>
          </w:tcPr>
          <w:p>
            <w:pPr>
              <w:spacing w:after="0"/>
              <w:rPr>
                <w:sz w:val="15"/>
                <w:szCs w:val="15"/>
                <w:color w:val="auto"/>
              </w:rPr>
            </w:pPr>
          </w:p>
        </w:tc>
        <w:tc>
          <w:tcPr>
            <w:tcW w:w="200" w:type="dxa"/>
            <w:vAlign w:val="bottom"/>
            <w:shd w:val="clear" w:color="auto" w:fill="EAEAEA"/>
          </w:tcPr>
          <w:p>
            <w:pPr>
              <w:spacing w:after="0"/>
              <w:rPr>
                <w:sz w:val="15"/>
                <w:szCs w:val="15"/>
                <w:color w:val="auto"/>
              </w:rPr>
            </w:pPr>
          </w:p>
        </w:tc>
        <w:tc>
          <w:tcPr>
            <w:tcW w:w="480" w:type="dxa"/>
            <w:vAlign w:val="bottom"/>
            <w:shd w:val="clear" w:color="auto" w:fill="EAEAEA"/>
          </w:tcPr>
          <w:p>
            <w:pPr>
              <w:spacing w:after="0"/>
              <w:rPr>
                <w:sz w:val="15"/>
                <w:szCs w:val="15"/>
                <w:color w:val="auto"/>
              </w:rPr>
            </w:pPr>
          </w:p>
        </w:tc>
        <w:tc>
          <w:tcPr>
            <w:tcW w:w="200" w:type="dxa"/>
            <w:vAlign w:val="bottom"/>
            <w:shd w:val="clear" w:color="auto" w:fill="EAEAEA"/>
          </w:tcPr>
          <w:p>
            <w:pPr>
              <w:spacing w:after="0"/>
              <w:rPr>
                <w:sz w:val="15"/>
                <w:szCs w:val="15"/>
                <w:color w:val="auto"/>
              </w:rPr>
            </w:pPr>
          </w:p>
        </w:tc>
        <w:tc>
          <w:tcPr>
            <w:tcW w:w="120" w:type="dxa"/>
            <w:vAlign w:val="bottom"/>
            <w:shd w:val="clear" w:color="auto" w:fill="EAEAEA"/>
          </w:tcPr>
          <w:p>
            <w:pPr>
              <w:spacing w:after="0"/>
              <w:rPr>
                <w:sz w:val="15"/>
                <w:szCs w:val="15"/>
                <w:color w:val="auto"/>
              </w:rPr>
            </w:pPr>
          </w:p>
        </w:tc>
        <w:tc>
          <w:tcPr>
            <w:tcW w:w="600" w:type="dxa"/>
            <w:vAlign w:val="bottom"/>
            <w:shd w:val="clear" w:color="auto" w:fill="EAEAEA"/>
          </w:tcPr>
          <w:p>
            <w:pPr>
              <w:spacing w:after="0"/>
              <w:rPr>
                <w:sz w:val="15"/>
                <w:szCs w:val="15"/>
                <w:color w:val="auto"/>
              </w:rPr>
            </w:pPr>
          </w:p>
        </w:tc>
        <w:tc>
          <w:tcPr>
            <w:tcW w:w="280" w:type="dxa"/>
            <w:vAlign w:val="bottom"/>
            <w:shd w:val="clear" w:color="auto" w:fill="EAEAEA"/>
          </w:tcPr>
          <w:p>
            <w:pPr>
              <w:spacing w:after="0"/>
              <w:rPr>
                <w:sz w:val="15"/>
                <w:szCs w:val="15"/>
                <w:color w:val="auto"/>
              </w:rPr>
            </w:pPr>
          </w:p>
        </w:tc>
        <w:tc>
          <w:tcPr>
            <w:tcW w:w="100" w:type="dxa"/>
            <w:vAlign w:val="bottom"/>
            <w:shd w:val="clear" w:color="auto" w:fill="EAEAEA"/>
          </w:tcPr>
          <w:p>
            <w:pPr>
              <w:spacing w:after="0"/>
              <w:rPr>
                <w:sz w:val="15"/>
                <w:szCs w:val="15"/>
                <w:color w:val="auto"/>
              </w:rPr>
            </w:pPr>
          </w:p>
        </w:tc>
        <w:tc>
          <w:tcPr>
            <w:tcW w:w="740" w:type="dxa"/>
            <w:vAlign w:val="bottom"/>
            <w:shd w:val="clear" w:color="auto" w:fill="EAEAEA"/>
          </w:tcPr>
          <w:p>
            <w:pPr>
              <w:spacing w:after="0"/>
              <w:rPr>
                <w:sz w:val="15"/>
                <w:szCs w:val="15"/>
                <w:color w:val="auto"/>
              </w:rPr>
            </w:pPr>
          </w:p>
        </w:tc>
        <w:tc>
          <w:tcPr>
            <w:tcW w:w="80" w:type="dxa"/>
            <w:vAlign w:val="bottom"/>
            <w:shd w:val="clear" w:color="auto" w:fill="EAEAEA"/>
          </w:tcPr>
          <w:p>
            <w:pPr>
              <w:spacing w:after="0"/>
              <w:rPr>
                <w:sz w:val="15"/>
                <w:szCs w:val="15"/>
                <w:color w:val="auto"/>
              </w:rPr>
            </w:pPr>
          </w:p>
        </w:tc>
      </w:tr>
      <w:tr>
        <w:trPr>
          <w:trHeight w:val="246"/>
        </w:trPr>
        <w:tc>
          <w:tcPr>
            <w:tcW w:w="5440" w:type="dxa"/>
            <w:vAlign w:val="bottom"/>
            <w:tcBorders>
              <w:right w:val="single" w:sz="8" w:color="EAEAEA"/>
            </w:tcBorders>
            <w:shd w:val="clear" w:color="auto" w:fill="EAEAEA"/>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96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237,593</w:t>
            </w:r>
          </w:p>
        </w:tc>
        <w:tc>
          <w:tcPr>
            <w:tcW w:w="200" w:type="dxa"/>
            <w:vAlign w:val="bottom"/>
            <w:shd w:val="clear" w:color="auto" w:fill="EAEAEA"/>
          </w:tcPr>
          <w:p>
            <w:pPr>
              <w:spacing w:after="0"/>
              <w:rPr>
                <w:sz w:val="21"/>
                <w:szCs w:val="21"/>
                <w:color w:val="auto"/>
              </w:rPr>
            </w:pPr>
          </w:p>
        </w:tc>
        <w:tc>
          <w:tcPr>
            <w:tcW w:w="360" w:type="dxa"/>
            <w:vAlign w:val="bottom"/>
            <w:shd w:val="clear" w:color="auto" w:fill="EAEAEA"/>
          </w:tcPr>
          <w:p>
            <w:pPr>
              <w:spacing w:after="0"/>
              <w:rPr>
                <w:sz w:val="21"/>
                <w:szCs w:val="21"/>
                <w:color w:val="auto"/>
              </w:rPr>
            </w:pPr>
          </w:p>
        </w:tc>
        <w:tc>
          <w:tcPr>
            <w:tcW w:w="180" w:type="dxa"/>
            <w:vAlign w:val="bottom"/>
            <w:tcBorders>
              <w:right w:val="single" w:sz="8" w:color="EAEAEA"/>
            </w:tcBorders>
            <w:shd w:val="clear" w:color="auto" w:fill="EAEAEA"/>
          </w:tcPr>
          <w:p>
            <w:pPr>
              <w:spacing w:after="0"/>
              <w:rPr>
                <w:sz w:val="21"/>
                <w:szCs w:val="21"/>
                <w:color w:val="auto"/>
              </w:rPr>
            </w:pPr>
          </w:p>
        </w:tc>
        <w:tc>
          <w:tcPr>
            <w:tcW w:w="180" w:type="dxa"/>
            <w:vAlign w:val="bottom"/>
            <w:shd w:val="clear" w:color="auto" w:fill="EAEAEA"/>
          </w:tcPr>
          <w:p>
            <w:pPr>
              <w:spacing w:after="0"/>
              <w:rPr>
                <w:sz w:val="21"/>
                <w:szCs w:val="21"/>
                <w:color w:val="auto"/>
              </w:rPr>
            </w:pPr>
          </w:p>
        </w:tc>
        <w:tc>
          <w:tcPr>
            <w:tcW w:w="900" w:type="dxa"/>
            <w:vAlign w:val="bottom"/>
            <w:tcBorders>
              <w:right w:val="single" w:sz="8" w:color="EAEAEA"/>
            </w:tcBorders>
            <w:shd w:val="clear" w:color="auto" w:fill="EAEAEA"/>
          </w:tcPr>
          <w:p>
            <w:pPr>
              <w:spacing w:after="0"/>
              <w:rPr>
                <w:sz w:val="21"/>
                <w:szCs w:val="21"/>
                <w:color w:val="auto"/>
              </w:rPr>
            </w:pPr>
          </w:p>
        </w:tc>
        <w:tc>
          <w:tcPr>
            <w:tcW w:w="24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38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6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6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c>
          <w:tcPr>
            <w:tcW w:w="48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600" w:type="dxa"/>
            <w:vAlign w:val="bottom"/>
            <w:shd w:val="clear" w:color="auto" w:fill="EAEAEA"/>
          </w:tcPr>
          <w:p>
            <w:pPr>
              <w:spacing w:after="0"/>
              <w:rPr>
                <w:sz w:val="21"/>
                <w:szCs w:val="21"/>
                <w:color w:val="auto"/>
              </w:rPr>
            </w:pPr>
          </w:p>
        </w:tc>
        <w:tc>
          <w:tcPr>
            <w:tcW w:w="28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7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80" w:type="dxa"/>
            <w:vAlign w:val="bottom"/>
            <w:shd w:val="clear" w:color="auto" w:fill="EAEAEA"/>
          </w:tcPr>
          <w:p>
            <w:pPr>
              <w:spacing w:after="0"/>
              <w:rPr>
                <w:sz w:val="21"/>
                <w:szCs w:val="21"/>
                <w:color w:val="auto"/>
              </w:rPr>
            </w:pPr>
          </w:p>
        </w:tc>
      </w:tr>
      <w:tr>
        <w:trPr>
          <w:trHeight w:val="221"/>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Distributions to members</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(845)</w:t>
            </w:r>
          </w:p>
        </w:tc>
      </w:tr>
      <w:tr>
        <w:trPr>
          <w:trHeight w:val="241"/>
        </w:trPr>
        <w:tc>
          <w:tcPr>
            <w:tcW w:w="5440" w:type="dxa"/>
            <w:vAlign w:val="bottom"/>
            <w:tcBorders>
              <w:right w:val="single" w:sz="8" w:color="EAEAEA"/>
            </w:tcBorders>
            <w:shd w:val="clear" w:color="auto" w:fill="EAEAEA"/>
          </w:tcPr>
          <w:p>
            <w:pPr>
              <w:ind w:left="100"/>
              <w:spacing w:after="0"/>
              <w:rPr>
                <w:sz w:val="20"/>
                <w:szCs w:val="20"/>
                <w:color w:val="auto"/>
              </w:rPr>
            </w:pPr>
            <w:r>
              <w:rPr>
                <w:rFonts w:ascii="Times New Roman" w:cs="Times New Roman" w:eastAsia="Times New Roman" w:hAnsi="Times New Roman"/>
                <w:sz w:val="18"/>
                <w:szCs w:val="18"/>
                <w:color w:val="auto"/>
              </w:rPr>
              <w:t>Contribution by shareholders in final IPO settlement</w:t>
            </w:r>
          </w:p>
        </w:tc>
        <w:tc>
          <w:tcPr>
            <w:tcW w:w="120" w:type="dxa"/>
            <w:vAlign w:val="bottom"/>
            <w:shd w:val="clear" w:color="auto" w:fill="EAEAEA"/>
          </w:tcPr>
          <w:p>
            <w:pPr>
              <w:spacing w:after="0"/>
              <w:rPr>
                <w:sz w:val="20"/>
                <w:szCs w:val="20"/>
                <w:color w:val="auto"/>
              </w:rPr>
            </w:pPr>
          </w:p>
        </w:tc>
        <w:tc>
          <w:tcPr>
            <w:tcW w:w="840" w:type="dxa"/>
            <w:vAlign w:val="bottom"/>
            <w:shd w:val="clear" w:color="auto" w:fill="EAEAEA"/>
          </w:tcPr>
          <w:p>
            <w:pPr>
              <w:spacing w:after="0"/>
              <w:rPr>
                <w:sz w:val="20"/>
                <w:szCs w:val="20"/>
                <w:color w:val="auto"/>
              </w:rPr>
            </w:pPr>
          </w:p>
        </w:tc>
        <w:tc>
          <w:tcPr>
            <w:tcW w:w="200" w:type="dxa"/>
            <w:vAlign w:val="bottom"/>
            <w:shd w:val="clear" w:color="auto" w:fill="EAEAEA"/>
          </w:tcPr>
          <w:p>
            <w:pPr>
              <w:spacing w:after="0"/>
              <w:rPr>
                <w:sz w:val="20"/>
                <w:szCs w:val="20"/>
                <w:color w:val="auto"/>
              </w:rPr>
            </w:pPr>
          </w:p>
        </w:tc>
        <w:tc>
          <w:tcPr>
            <w:tcW w:w="360" w:type="dxa"/>
            <w:vAlign w:val="bottom"/>
            <w:shd w:val="clear" w:color="auto" w:fill="EAEAEA"/>
          </w:tcPr>
          <w:p>
            <w:pPr>
              <w:spacing w:after="0"/>
              <w:rPr>
                <w:sz w:val="20"/>
                <w:szCs w:val="20"/>
                <w:color w:val="auto"/>
              </w:rPr>
            </w:pPr>
          </w:p>
        </w:tc>
        <w:tc>
          <w:tcPr>
            <w:tcW w:w="180" w:type="dxa"/>
            <w:vAlign w:val="bottom"/>
            <w:tcBorders>
              <w:right w:val="single" w:sz="8" w:color="EAEAEA"/>
            </w:tcBorders>
            <w:shd w:val="clear" w:color="auto" w:fill="EAEAEA"/>
          </w:tcPr>
          <w:p>
            <w:pPr>
              <w:spacing w:after="0"/>
              <w:rPr>
                <w:sz w:val="20"/>
                <w:szCs w:val="20"/>
                <w:color w:val="auto"/>
              </w:rPr>
            </w:pPr>
          </w:p>
        </w:tc>
        <w:tc>
          <w:tcPr>
            <w:tcW w:w="180" w:type="dxa"/>
            <w:vAlign w:val="bottom"/>
            <w:shd w:val="clear" w:color="auto" w:fill="EAEAEA"/>
          </w:tcPr>
          <w:p>
            <w:pPr>
              <w:spacing w:after="0"/>
              <w:rPr>
                <w:sz w:val="20"/>
                <w:szCs w:val="20"/>
                <w:color w:val="auto"/>
              </w:rPr>
            </w:pPr>
          </w:p>
        </w:tc>
        <w:tc>
          <w:tcPr>
            <w:tcW w:w="900" w:type="dxa"/>
            <w:vAlign w:val="bottom"/>
            <w:tcBorders>
              <w:right w:val="single" w:sz="8" w:color="EAEAEA"/>
            </w:tcBorders>
            <w:shd w:val="clear" w:color="auto" w:fill="EAEAEA"/>
          </w:tcPr>
          <w:p>
            <w:pPr>
              <w:spacing w:after="0"/>
              <w:rPr>
                <w:sz w:val="20"/>
                <w:szCs w:val="20"/>
                <w:color w:val="auto"/>
              </w:rPr>
            </w:pPr>
          </w:p>
        </w:tc>
        <w:tc>
          <w:tcPr>
            <w:tcW w:w="24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380" w:type="dxa"/>
            <w:vAlign w:val="bottom"/>
            <w:shd w:val="clear" w:color="auto" w:fill="EAEAEA"/>
          </w:tcPr>
          <w:p>
            <w:pPr>
              <w:spacing w:after="0"/>
              <w:rPr>
                <w:sz w:val="20"/>
                <w:szCs w:val="20"/>
                <w:color w:val="auto"/>
              </w:rPr>
            </w:pPr>
          </w:p>
        </w:tc>
        <w:tc>
          <w:tcPr>
            <w:tcW w:w="20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6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6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200" w:type="dxa"/>
            <w:vAlign w:val="bottom"/>
            <w:shd w:val="clear" w:color="auto" w:fill="EAEAEA"/>
          </w:tcPr>
          <w:p>
            <w:pPr>
              <w:spacing w:after="0"/>
              <w:rPr>
                <w:sz w:val="20"/>
                <w:szCs w:val="20"/>
                <w:color w:val="auto"/>
              </w:rPr>
            </w:pPr>
          </w:p>
        </w:tc>
        <w:tc>
          <w:tcPr>
            <w:tcW w:w="480" w:type="dxa"/>
            <w:vAlign w:val="bottom"/>
            <w:shd w:val="clear" w:color="auto" w:fill="EAEAEA"/>
          </w:tcPr>
          <w:p>
            <w:pPr>
              <w:spacing w:after="0"/>
              <w:rPr>
                <w:sz w:val="20"/>
                <w:szCs w:val="20"/>
                <w:color w:val="auto"/>
              </w:rPr>
            </w:pPr>
          </w:p>
        </w:tc>
        <w:tc>
          <w:tcPr>
            <w:tcW w:w="20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600" w:type="dxa"/>
            <w:vAlign w:val="bottom"/>
            <w:shd w:val="clear" w:color="auto" w:fill="EAEAEA"/>
          </w:tcPr>
          <w:p>
            <w:pPr>
              <w:spacing w:after="0"/>
              <w:rPr>
                <w:sz w:val="20"/>
                <w:szCs w:val="20"/>
                <w:color w:val="auto"/>
              </w:rPr>
            </w:pPr>
          </w:p>
        </w:tc>
        <w:tc>
          <w:tcPr>
            <w:tcW w:w="28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7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80" w:type="dxa"/>
            <w:vAlign w:val="bottom"/>
            <w:shd w:val="clear" w:color="auto" w:fill="EAEAEA"/>
          </w:tcPr>
          <w:p>
            <w:pPr>
              <w:spacing w:after="0"/>
              <w:rPr>
                <w:sz w:val="20"/>
                <w:szCs w:val="20"/>
                <w:color w:val="auto"/>
              </w:rPr>
            </w:pPr>
          </w:p>
        </w:tc>
      </w:tr>
      <w:tr>
        <w:trPr>
          <w:trHeight w:val="157"/>
        </w:trPr>
        <w:tc>
          <w:tcPr>
            <w:tcW w:w="5440" w:type="dxa"/>
            <w:vAlign w:val="bottom"/>
            <w:tcBorders>
              <w:top w:val="single" w:sz="8" w:color="auto"/>
            </w:tcBorders>
          </w:tcPr>
          <w:p>
            <w:pPr>
              <w:spacing w:after="0" w:line="157" w:lineRule="exact"/>
              <w:rPr>
                <w:sz w:val="20"/>
                <w:szCs w:val="20"/>
                <w:color w:val="auto"/>
              </w:rPr>
            </w:pPr>
            <w:r>
              <w:rPr>
                <w:rFonts w:ascii="Times New Roman" w:cs="Times New Roman" w:eastAsia="Times New Roman" w:hAnsi="Times New Roman"/>
                <w:sz w:val="18"/>
                <w:szCs w:val="18"/>
                <w:color w:val="auto"/>
              </w:rPr>
              <w:t>Balance, December 31, 2024</w:t>
            </w:r>
          </w:p>
        </w:tc>
        <w:tc>
          <w:tcPr>
            <w:tcW w:w="120" w:type="dxa"/>
            <w:vAlign w:val="bottom"/>
            <w:tcBorders>
              <w:top w:val="single" w:sz="8" w:color="EAEAEA"/>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EAEAEA"/>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80" w:type="dxa"/>
            <w:vAlign w:val="bottom"/>
            <w:tcBorders>
              <w:top w:val="single" w:sz="8" w:color="EAEAEA"/>
            </w:tcBorders>
          </w:tcPr>
          <w:p>
            <w:pPr>
              <w:spacing w:after="0"/>
              <w:rPr>
                <w:sz w:val="13"/>
                <w:szCs w:val="13"/>
                <w:color w:val="auto"/>
              </w:rPr>
            </w:pPr>
          </w:p>
        </w:tc>
        <w:tc>
          <w:tcPr>
            <w:tcW w:w="90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8"/>
                <w:szCs w:val="18"/>
                <w:color w:val="auto"/>
              </w:rPr>
              <w:t>27,886,91</w:t>
            </w:r>
          </w:p>
        </w:tc>
        <w:tc>
          <w:tcPr>
            <w:tcW w:w="240" w:type="dxa"/>
            <w:vAlign w:val="bottom"/>
            <w:tcBorders>
              <w:top w:val="single" w:sz="8" w:color="EAEAEA"/>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00" w:type="dxa"/>
            <w:vAlign w:val="bottom"/>
            <w:tcBorders>
              <w:top w:val="single" w:sz="8" w:color="EAEAEA"/>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Borders>
              <w:top w:val="single" w:sz="8" w:color="EAEAEA"/>
            </w:tcBorders>
          </w:tcPr>
          <w:p>
            <w:pPr>
              <w:spacing w:after="0"/>
              <w:rPr>
                <w:sz w:val="13"/>
                <w:szCs w:val="13"/>
                <w:color w:val="auto"/>
              </w:rPr>
            </w:pPr>
          </w:p>
        </w:tc>
        <w:tc>
          <w:tcPr>
            <w:tcW w:w="100" w:type="dxa"/>
            <w:vAlign w:val="bottom"/>
            <w:tcBorders>
              <w:top w:val="single" w:sz="8" w:color="EAEAEA"/>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Borders>
              <w:top w:val="single" w:sz="8" w:color="EAEAEA"/>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80" w:type="dxa"/>
            <w:vAlign w:val="bottom"/>
            <w:tcBorders>
              <w:top w:val="single" w:sz="8" w:color="EAEAEA"/>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EAEAEA"/>
            </w:tcBorders>
          </w:tcPr>
          <w:p>
            <w:pPr>
              <w:spacing w:after="0"/>
              <w:rPr>
                <w:sz w:val="13"/>
                <w:szCs w:val="13"/>
                <w:color w:val="auto"/>
              </w:rPr>
            </w:pPr>
          </w:p>
        </w:tc>
      </w:tr>
      <w:tr>
        <w:trPr>
          <w:trHeight w:val="243"/>
        </w:trPr>
        <w:tc>
          <w:tcPr>
            <w:tcW w:w="5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4,913,064</w:t>
            </w:r>
          </w:p>
        </w:tc>
        <w:tc>
          <w:tcPr>
            <w:tcW w:w="56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11,782</w:t>
            </w:r>
          </w:p>
        </w:tc>
        <w:tc>
          <w:tcPr>
            <w:tcW w:w="160" w:type="dxa"/>
            <w:vAlign w:val="bottom"/>
          </w:tcPr>
          <w:p>
            <w:pPr>
              <w:spacing w:after="0"/>
              <w:rPr>
                <w:sz w:val="21"/>
                <w:szCs w:val="21"/>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31,387</w:t>
            </w:r>
          </w:p>
        </w:tc>
        <w:tc>
          <w:tcPr>
            <w:tcW w:w="2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44,117</w:t>
            </w:r>
          </w:p>
        </w:tc>
        <w:tc>
          <w:tcPr>
            <w:tcW w:w="80" w:type="dxa"/>
            <w:vAlign w:val="bottom"/>
          </w:tcPr>
          <w:p>
            <w:pPr>
              <w:spacing w:after="0"/>
              <w:rPr>
                <w:sz w:val="21"/>
                <w:szCs w:val="21"/>
                <w:color w:val="auto"/>
              </w:rPr>
            </w:pPr>
          </w:p>
        </w:tc>
      </w:tr>
      <w:tr>
        <w:trPr>
          <w:trHeight w:val="48"/>
        </w:trPr>
        <w:tc>
          <w:tcPr>
            <w:tcW w:w="5440" w:type="dxa"/>
            <w:vAlign w:val="bottom"/>
            <w:tcBorders>
              <w:right w:val="single" w:sz="8" w:color="auto"/>
            </w:tcBorders>
            <w:shd w:val="clear" w:color="auto" w:fill="000000"/>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shd w:val="clear" w:color="auto" w:fill="000000"/>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shd w:val="clear" w:color="auto" w:fill="000000"/>
          </w:tcPr>
          <w:p>
            <w:pPr>
              <w:spacing w:after="0"/>
              <w:rPr>
                <w:sz w:val="4"/>
                <w:szCs w:val="4"/>
                <w:color w:val="auto"/>
              </w:rPr>
            </w:pPr>
          </w:p>
        </w:tc>
        <w:tc>
          <w:tcPr>
            <w:tcW w:w="180" w:type="dxa"/>
            <w:vAlign w:val="bottom"/>
            <w:tcBorders>
              <w:right w:val="single" w:sz="8" w:color="auto"/>
            </w:tcBorders>
            <w:shd w:val="clear" w:color="auto" w:fill="000000"/>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Borders>
              <w:right w:val="single" w:sz="8" w:color="auto"/>
            </w:tcBorders>
            <w:shd w:val="clear" w:color="auto" w:fill="000000"/>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shd w:val="clear" w:color="auto" w:fill="000000"/>
          </w:tcPr>
          <w:p>
            <w:pPr>
              <w:spacing w:after="0"/>
              <w:rPr>
                <w:sz w:val="4"/>
                <w:szCs w:val="4"/>
                <w:color w:val="auto"/>
              </w:rPr>
            </w:pPr>
          </w:p>
        </w:tc>
        <w:tc>
          <w:tcPr>
            <w:tcW w:w="380" w:type="dxa"/>
            <w:vAlign w:val="bottom"/>
            <w:shd w:val="clear" w:color="auto" w:fill="000000"/>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shd w:val="clear" w:color="auto" w:fill="000000"/>
          </w:tcPr>
          <w:p>
            <w:pPr>
              <w:spacing w:after="0"/>
              <w:rPr>
                <w:sz w:val="4"/>
                <w:szCs w:val="4"/>
                <w:color w:val="auto"/>
              </w:rPr>
            </w:pPr>
          </w:p>
        </w:tc>
        <w:tc>
          <w:tcPr>
            <w:tcW w:w="620" w:type="dxa"/>
            <w:vAlign w:val="bottom"/>
            <w:shd w:val="clear" w:color="auto" w:fill="000000"/>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shd w:val="clear" w:color="auto" w:fill="000000"/>
          </w:tcPr>
          <w:p>
            <w:pPr>
              <w:spacing w:after="0"/>
              <w:rPr>
                <w:sz w:val="4"/>
                <w:szCs w:val="4"/>
                <w:color w:val="auto"/>
              </w:rPr>
            </w:pPr>
          </w:p>
        </w:tc>
        <w:tc>
          <w:tcPr>
            <w:tcW w:w="480" w:type="dxa"/>
            <w:vAlign w:val="bottom"/>
            <w:shd w:val="clear" w:color="auto" w:fill="000000"/>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shd w:val="clear" w:color="auto" w:fill="000000"/>
          </w:tcPr>
          <w:p>
            <w:pPr>
              <w:spacing w:after="0"/>
              <w:rPr>
                <w:sz w:val="4"/>
                <w:szCs w:val="4"/>
                <w:color w:val="auto"/>
              </w:rPr>
            </w:pPr>
          </w:p>
        </w:tc>
        <w:tc>
          <w:tcPr>
            <w:tcW w:w="600" w:type="dxa"/>
            <w:vAlign w:val="bottom"/>
            <w:shd w:val="clear" w:color="auto" w:fill="000000"/>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shd w:val="clear" w:color="auto" w:fill="000000"/>
          </w:tcPr>
          <w:p>
            <w:pPr>
              <w:spacing w:after="0"/>
              <w:rPr>
                <w:sz w:val="4"/>
                <w:szCs w:val="4"/>
                <w:color w:val="auto"/>
              </w:rPr>
            </w:pPr>
          </w:p>
        </w:tc>
        <w:tc>
          <w:tcPr>
            <w:tcW w:w="740" w:type="dxa"/>
            <w:vAlign w:val="bottom"/>
            <w:shd w:val="clear" w:color="auto" w:fill="000000"/>
          </w:tcPr>
          <w:p>
            <w:pPr>
              <w:spacing w:after="0"/>
              <w:rPr>
                <w:sz w:val="4"/>
                <w:szCs w:val="4"/>
                <w:color w:val="auto"/>
              </w:rPr>
            </w:pPr>
          </w:p>
        </w:tc>
        <w:tc>
          <w:tcPr>
            <w:tcW w:w="80" w:type="dxa"/>
            <w:vAlign w:val="bottom"/>
          </w:tcPr>
          <w:p>
            <w:pPr>
              <w:spacing w:after="0"/>
              <w:rPr>
                <w:sz w:val="4"/>
                <w:szCs w:val="4"/>
                <w:color w:val="auto"/>
              </w:rPr>
            </w:pPr>
          </w:p>
        </w:tc>
      </w:tr>
    </w:tbl>
    <w:p>
      <w:pPr>
        <w:spacing w:after="0" w:line="17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5840" w:h="12240" w:orient="landscape"/>
          <w:cols w:equalWidth="0" w:num="1">
            <w:col w:w="13140"/>
          </w:cols>
          <w:pgMar w:left="1440" w:top="485" w:right="1260" w:bottom="3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292929"/>
        </w:rPr>
        <w:t>F-6</w:t>
      </w:r>
    </w:p>
    <w:p>
      <w:pPr>
        <w:sectPr>
          <w:pgSz w:w="15840" w:h="12240" w:orient="landscape"/>
          <w:cols w:equalWidth="0" w:num="1">
            <w:col w:w="13140"/>
          </w:cols>
          <w:pgMar w:left="1440" w:top="485" w:right="1260" w:bottom="387" w:gutter="0" w:footer="0" w:header="0"/>
          <w:type w:val="continuous"/>
        </w:sectPr>
      </w:pPr>
    </w:p>
    <w:bookmarkStart w:id="72" w:name="page73"/>
    <w:bookmarkEnd w:id="72"/>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GEN RESTAURANT GROUP, INC.</w:t>
      </w:r>
    </w:p>
    <w:p>
      <w:pPr>
        <w:spacing w:after="0" w:line="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Permanent Equity (Deficit)</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Years ended December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80" w:type="dxa"/>
        <w:tblCellMar>
          <w:top w:w="0" w:type="dxa"/>
          <w:left w:w="0" w:type="dxa"/>
          <w:bottom w:w="0" w:type="dxa"/>
          <w:right w:w="0" w:type="dxa"/>
        </w:tblCellMar>
      </w:tblPr>
      <w:tr>
        <w:trPr>
          <w:trHeight w:val="218"/>
        </w:trPr>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Accumul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7"/>
        </w:trPr>
        <w:tc>
          <w:tcPr>
            <w:tcW w:w="2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ated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Stockhol</w:t>
            </w:r>
          </w:p>
        </w:tc>
      </w:tr>
      <w:tr>
        <w:trPr>
          <w:trHeight w:val="207"/>
        </w:trPr>
        <w:tc>
          <w:tcPr>
            <w:tcW w:w="2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ders'</w:t>
            </w:r>
          </w:p>
        </w:tc>
      </w:tr>
      <w:tr>
        <w:trPr>
          <w:trHeight w:val="207"/>
        </w:trPr>
        <w:tc>
          <w:tcPr>
            <w:tcW w:w="2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Compreh</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07"/>
        </w:trPr>
        <w:tc>
          <w:tcPr>
            <w:tcW w:w="2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ensive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Member</w:t>
            </w:r>
          </w:p>
        </w:tc>
      </w:tr>
      <w:tr>
        <w:trPr>
          <w:trHeight w:val="207"/>
        </w:trPr>
        <w:tc>
          <w:tcPr>
            <w:tcW w:w="2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Gain</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Controlli</w:t>
            </w:r>
          </w:p>
        </w:tc>
        <w:tc>
          <w:tcPr>
            <w:tcW w:w="100" w:type="dxa"/>
            <w:vAlign w:val="bottom"/>
          </w:tcPr>
          <w:p>
            <w:pPr>
              <w:spacing w:after="0"/>
              <w:rPr>
                <w:sz w:val="17"/>
                <w:szCs w:val="17"/>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w:t>
            </w:r>
          </w:p>
        </w:tc>
      </w:tr>
      <w:tr>
        <w:trPr>
          <w:trHeight w:val="246"/>
        </w:trPr>
        <w:tc>
          <w:tcPr>
            <w:tcW w:w="2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Treasury Shares</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(Loss)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ng</w:t>
            </w:r>
          </w:p>
        </w:tc>
        <w:tc>
          <w:tcPr>
            <w:tcW w:w="100" w:type="dxa"/>
            <w:vAlign w:val="bottom"/>
          </w:tcPr>
          <w:p>
            <w:pPr>
              <w:spacing w:after="0"/>
              <w:rPr>
                <w:sz w:val="21"/>
                <w:szCs w:val="21"/>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177"/>
        </w:trPr>
        <w:tc>
          <w:tcPr>
            <w:tcW w:w="2560" w:type="dxa"/>
            <w:vAlign w:val="bottom"/>
            <w:tcBorders>
              <w:top w:val="single" w:sz="8" w:color="EAEAEA"/>
            </w:tcBorders>
            <w:gridSpan w:val="5"/>
            <w:shd w:val="clear" w:color="auto" w:fill="EAEAEA"/>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(in thousands except for share</w:t>
            </w:r>
          </w:p>
        </w:tc>
        <w:tc>
          <w:tcPr>
            <w:tcW w:w="720" w:type="dxa"/>
            <w:vAlign w:val="bottom"/>
            <w:tcBorders>
              <w:top w:val="single" w:sz="8" w:color="auto"/>
            </w:tcBorders>
            <w:shd w:val="clear" w:color="auto" w:fill="EAEAEA"/>
          </w:tcPr>
          <w:p>
            <w:pPr>
              <w:spacing w:after="0"/>
              <w:rPr>
                <w:sz w:val="15"/>
                <w:szCs w:val="15"/>
                <w:color w:val="auto"/>
              </w:rPr>
            </w:pPr>
          </w:p>
        </w:tc>
        <w:tc>
          <w:tcPr>
            <w:tcW w:w="40" w:type="dxa"/>
            <w:vAlign w:val="bottom"/>
            <w:tcBorders>
              <w:top w:val="single" w:sz="8" w:color="auto"/>
              <w:right w:val="single" w:sz="8" w:color="EAEAEA"/>
            </w:tcBorders>
            <w:shd w:val="clear" w:color="auto" w:fill="EAEAEA"/>
          </w:tcPr>
          <w:p>
            <w:pPr>
              <w:spacing w:after="0"/>
              <w:rPr>
                <w:sz w:val="15"/>
                <w:szCs w:val="15"/>
                <w:color w:val="auto"/>
              </w:rPr>
            </w:pPr>
          </w:p>
        </w:tc>
        <w:tc>
          <w:tcPr>
            <w:tcW w:w="140" w:type="dxa"/>
            <w:vAlign w:val="bottom"/>
            <w:tcBorders>
              <w:top w:val="single" w:sz="8" w:color="auto"/>
            </w:tcBorders>
            <w:shd w:val="clear" w:color="auto" w:fill="EAEAEA"/>
          </w:tcPr>
          <w:p>
            <w:pPr>
              <w:spacing w:after="0"/>
              <w:rPr>
                <w:sz w:val="15"/>
                <w:szCs w:val="15"/>
                <w:color w:val="auto"/>
              </w:rPr>
            </w:pPr>
          </w:p>
        </w:tc>
        <w:tc>
          <w:tcPr>
            <w:tcW w:w="560" w:type="dxa"/>
            <w:vAlign w:val="bottom"/>
            <w:tcBorders>
              <w:top w:val="single" w:sz="8" w:color="auto"/>
            </w:tcBorders>
            <w:shd w:val="clear" w:color="auto" w:fill="EAEAEA"/>
          </w:tcPr>
          <w:p>
            <w:pPr>
              <w:spacing w:after="0"/>
              <w:rPr>
                <w:sz w:val="15"/>
                <w:szCs w:val="15"/>
                <w:color w:val="auto"/>
              </w:rPr>
            </w:pPr>
          </w:p>
        </w:tc>
        <w:tc>
          <w:tcPr>
            <w:tcW w:w="200" w:type="dxa"/>
            <w:vAlign w:val="bottom"/>
            <w:tcBorders>
              <w:top w:val="single" w:sz="8" w:color="auto"/>
            </w:tcBorders>
            <w:shd w:val="clear" w:color="auto" w:fill="EAEAEA"/>
          </w:tcPr>
          <w:p>
            <w:pPr>
              <w:spacing w:after="0"/>
              <w:rPr>
                <w:sz w:val="15"/>
                <w:szCs w:val="15"/>
                <w:color w:val="auto"/>
              </w:rPr>
            </w:pPr>
          </w:p>
        </w:tc>
        <w:tc>
          <w:tcPr>
            <w:tcW w:w="180" w:type="dxa"/>
            <w:vAlign w:val="bottom"/>
            <w:tcBorders>
              <w:top w:val="single" w:sz="8" w:color="EAEAEA"/>
            </w:tcBorders>
            <w:shd w:val="clear" w:color="auto" w:fill="EAEAEA"/>
          </w:tcPr>
          <w:p>
            <w:pPr>
              <w:spacing w:after="0"/>
              <w:rPr>
                <w:sz w:val="15"/>
                <w:szCs w:val="15"/>
                <w:color w:val="auto"/>
              </w:rPr>
            </w:pPr>
          </w:p>
        </w:tc>
        <w:tc>
          <w:tcPr>
            <w:tcW w:w="720" w:type="dxa"/>
            <w:vAlign w:val="bottom"/>
            <w:tcBorders>
              <w:top w:val="single" w:sz="8" w:color="auto"/>
            </w:tcBorders>
            <w:shd w:val="clear" w:color="auto" w:fill="EAEAEA"/>
          </w:tcPr>
          <w:p>
            <w:pPr>
              <w:spacing w:after="0"/>
              <w:rPr>
                <w:sz w:val="15"/>
                <w:szCs w:val="15"/>
                <w:color w:val="auto"/>
              </w:rPr>
            </w:pPr>
          </w:p>
        </w:tc>
        <w:tc>
          <w:tcPr>
            <w:tcW w:w="40" w:type="dxa"/>
            <w:vAlign w:val="bottom"/>
            <w:tcBorders>
              <w:top w:val="single" w:sz="8" w:color="auto"/>
              <w:right w:val="single" w:sz="8" w:color="EAEAEA"/>
            </w:tcBorders>
            <w:shd w:val="clear" w:color="auto" w:fill="EAEAEA"/>
          </w:tcPr>
          <w:p>
            <w:pPr>
              <w:spacing w:after="0"/>
              <w:rPr>
                <w:sz w:val="15"/>
                <w:szCs w:val="15"/>
                <w:color w:val="auto"/>
              </w:rPr>
            </w:pPr>
          </w:p>
        </w:tc>
        <w:tc>
          <w:tcPr>
            <w:tcW w:w="100" w:type="dxa"/>
            <w:vAlign w:val="bottom"/>
            <w:tcBorders>
              <w:top w:val="single" w:sz="8" w:color="auto"/>
            </w:tcBorders>
            <w:shd w:val="clear" w:color="auto" w:fill="EAEAEA"/>
          </w:tcPr>
          <w:p>
            <w:pPr>
              <w:spacing w:after="0"/>
              <w:rPr>
                <w:sz w:val="15"/>
                <w:szCs w:val="15"/>
                <w:color w:val="auto"/>
              </w:rPr>
            </w:pPr>
          </w:p>
        </w:tc>
        <w:tc>
          <w:tcPr>
            <w:tcW w:w="120" w:type="dxa"/>
            <w:vAlign w:val="bottom"/>
            <w:tcBorders>
              <w:top w:val="single" w:sz="8" w:color="auto"/>
            </w:tcBorders>
            <w:shd w:val="clear" w:color="auto" w:fill="EAEAEA"/>
          </w:tcPr>
          <w:p>
            <w:pPr>
              <w:spacing w:after="0"/>
              <w:rPr>
                <w:sz w:val="15"/>
                <w:szCs w:val="15"/>
                <w:color w:val="auto"/>
              </w:rPr>
            </w:pPr>
          </w:p>
        </w:tc>
        <w:tc>
          <w:tcPr>
            <w:tcW w:w="520" w:type="dxa"/>
            <w:vAlign w:val="bottom"/>
            <w:tcBorders>
              <w:top w:val="single" w:sz="8" w:color="auto"/>
            </w:tcBorders>
            <w:shd w:val="clear" w:color="auto" w:fill="EAEAEA"/>
          </w:tcPr>
          <w:p>
            <w:pPr>
              <w:spacing w:after="0"/>
              <w:rPr>
                <w:sz w:val="15"/>
                <w:szCs w:val="15"/>
                <w:color w:val="auto"/>
              </w:rPr>
            </w:pPr>
          </w:p>
        </w:tc>
        <w:tc>
          <w:tcPr>
            <w:tcW w:w="240" w:type="dxa"/>
            <w:vAlign w:val="bottom"/>
            <w:tcBorders>
              <w:top w:val="single" w:sz="8" w:color="auto"/>
            </w:tcBorders>
            <w:shd w:val="clear" w:color="auto" w:fill="EAEAEA"/>
          </w:tcPr>
          <w:p>
            <w:pPr>
              <w:spacing w:after="0"/>
              <w:rPr>
                <w:sz w:val="15"/>
                <w:szCs w:val="15"/>
                <w:color w:val="auto"/>
              </w:rPr>
            </w:pPr>
          </w:p>
        </w:tc>
        <w:tc>
          <w:tcPr>
            <w:tcW w:w="180" w:type="dxa"/>
            <w:vAlign w:val="bottom"/>
            <w:tcBorders>
              <w:top w:val="single" w:sz="8" w:color="EAEAEA"/>
            </w:tcBorders>
            <w:shd w:val="clear" w:color="auto" w:fill="EAEAEA"/>
          </w:tcPr>
          <w:p>
            <w:pPr>
              <w:spacing w:after="0"/>
              <w:rPr>
                <w:sz w:val="15"/>
                <w:szCs w:val="15"/>
                <w:color w:val="auto"/>
              </w:rPr>
            </w:pPr>
          </w:p>
        </w:tc>
        <w:tc>
          <w:tcPr>
            <w:tcW w:w="740" w:type="dxa"/>
            <w:vAlign w:val="bottom"/>
            <w:tcBorders>
              <w:top w:val="single" w:sz="8" w:color="auto"/>
            </w:tcBorders>
            <w:shd w:val="clear" w:color="auto" w:fill="EAEAEA"/>
          </w:tcPr>
          <w:p>
            <w:pPr>
              <w:spacing w:after="0"/>
              <w:rPr>
                <w:sz w:val="15"/>
                <w:szCs w:val="15"/>
                <w:color w:val="auto"/>
              </w:rPr>
            </w:pPr>
          </w:p>
        </w:tc>
        <w:tc>
          <w:tcPr>
            <w:tcW w:w="180" w:type="dxa"/>
            <w:vAlign w:val="bottom"/>
            <w:tcBorders>
              <w:top w:val="single" w:sz="8" w:color="auto"/>
            </w:tcBorders>
            <w:shd w:val="clear" w:color="auto" w:fill="EAEAEA"/>
          </w:tcPr>
          <w:p>
            <w:pPr>
              <w:spacing w:after="0"/>
              <w:rPr>
                <w:sz w:val="15"/>
                <w:szCs w:val="15"/>
                <w:color w:val="auto"/>
              </w:rPr>
            </w:pPr>
          </w:p>
        </w:tc>
        <w:tc>
          <w:tcPr>
            <w:tcW w:w="300" w:type="dxa"/>
            <w:vAlign w:val="bottom"/>
            <w:tcBorders>
              <w:top w:val="single" w:sz="8" w:color="auto"/>
            </w:tcBorders>
            <w:shd w:val="clear" w:color="auto" w:fill="EAEAEA"/>
          </w:tcPr>
          <w:p>
            <w:pPr>
              <w:spacing w:after="0"/>
              <w:rPr>
                <w:sz w:val="15"/>
                <w:szCs w:val="15"/>
                <w:color w:val="auto"/>
              </w:rPr>
            </w:pPr>
          </w:p>
        </w:tc>
        <w:tc>
          <w:tcPr>
            <w:tcW w:w="440" w:type="dxa"/>
            <w:vAlign w:val="bottom"/>
            <w:tcBorders>
              <w:top w:val="single" w:sz="8" w:color="auto"/>
            </w:tcBorders>
            <w:shd w:val="clear" w:color="auto" w:fill="EAEAEA"/>
          </w:tcPr>
          <w:p>
            <w:pPr>
              <w:spacing w:after="0"/>
              <w:rPr>
                <w:sz w:val="15"/>
                <w:szCs w:val="15"/>
                <w:color w:val="auto"/>
              </w:rPr>
            </w:pPr>
          </w:p>
        </w:tc>
        <w:tc>
          <w:tcPr>
            <w:tcW w:w="120" w:type="dxa"/>
            <w:vAlign w:val="bottom"/>
            <w:tcBorders>
              <w:top w:val="single" w:sz="8" w:color="EAEAEA"/>
            </w:tcBorders>
            <w:shd w:val="clear" w:color="auto" w:fill="EAEAEA"/>
          </w:tcPr>
          <w:p>
            <w:pPr>
              <w:spacing w:after="0"/>
              <w:rPr>
                <w:sz w:val="15"/>
                <w:szCs w:val="15"/>
                <w:color w:val="auto"/>
              </w:rPr>
            </w:pPr>
          </w:p>
        </w:tc>
        <w:tc>
          <w:tcPr>
            <w:tcW w:w="240" w:type="dxa"/>
            <w:vAlign w:val="bottom"/>
            <w:tcBorders>
              <w:top w:val="single" w:sz="8" w:color="EAEAEA"/>
            </w:tcBorders>
            <w:shd w:val="clear" w:color="auto" w:fill="EAEAEA"/>
          </w:tcPr>
          <w:p>
            <w:pPr>
              <w:spacing w:after="0"/>
              <w:rPr>
                <w:sz w:val="15"/>
                <w:szCs w:val="15"/>
                <w:color w:val="auto"/>
              </w:rPr>
            </w:pPr>
          </w:p>
        </w:tc>
        <w:tc>
          <w:tcPr>
            <w:tcW w:w="780" w:type="dxa"/>
            <w:vAlign w:val="bottom"/>
            <w:tcBorders>
              <w:top w:val="single" w:sz="8" w:color="EAEAEA"/>
            </w:tcBorders>
            <w:gridSpan w:val="2"/>
            <w:shd w:val="clear" w:color="auto" w:fill="EAEAEA"/>
          </w:tcPr>
          <w:p>
            <w:pPr>
              <w:jc w:val="center"/>
              <w:ind w:right="220"/>
              <w:spacing w:after="0" w:line="177" w:lineRule="exact"/>
              <w:rPr>
                <w:sz w:val="20"/>
                <w:szCs w:val="20"/>
                <w:color w:val="auto"/>
              </w:rPr>
            </w:pPr>
            <w:r>
              <w:rPr>
                <w:rFonts w:ascii="Times New Roman" w:cs="Times New Roman" w:eastAsia="Times New Roman" w:hAnsi="Times New Roman"/>
                <w:sz w:val="18"/>
                <w:szCs w:val="18"/>
                <w:b w:val="1"/>
                <w:bCs w:val="1"/>
                <w:color w:val="auto"/>
                <w:w w:val="99"/>
              </w:rPr>
              <w:t>capital</w:t>
            </w:r>
          </w:p>
        </w:tc>
        <w:tc>
          <w:tcPr>
            <w:tcW w:w="120" w:type="dxa"/>
            <w:vAlign w:val="bottom"/>
            <w:tcBorders>
              <w:top w:val="single" w:sz="8" w:color="EAEAEA"/>
            </w:tcBorders>
            <w:shd w:val="clear" w:color="auto" w:fill="EAEAEA"/>
          </w:tcPr>
          <w:p>
            <w:pPr>
              <w:spacing w:after="0"/>
              <w:rPr>
                <w:sz w:val="15"/>
                <w:szCs w:val="15"/>
                <w:color w:val="auto"/>
              </w:rPr>
            </w:pPr>
          </w:p>
        </w:tc>
        <w:tc>
          <w:tcPr>
            <w:tcW w:w="100" w:type="dxa"/>
            <w:vAlign w:val="bottom"/>
            <w:tcBorders>
              <w:top w:val="single" w:sz="8" w:color="EAEAEA"/>
            </w:tcBorders>
            <w:shd w:val="clear" w:color="auto" w:fill="EAEAEA"/>
          </w:tcPr>
          <w:p>
            <w:pPr>
              <w:spacing w:after="0"/>
              <w:rPr>
                <w:sz w:val="15"/>
                <w:szCs w:val="15"/>
                <w:color w:val="auto"/>
              </w:rPr>
            </w:pPr>
          </w:p>
        </w:tc>
        <w:tc>
          <w:tcPr>
            <w:tcW w:w="660" w:type="dxa"/>
            <w:vAlign w:val="bottom"/>
            <w:tcBorders>
              <w:top w:val="single" w:sz="8" w:color="EAEAEA"/>
            </w:tcBorders>
            <w:shd w:val="clear" w:color="auto" w:fill="EAEAEA"/>
          </w:tcPr>
          <w:p>
            <w:pPr>
              <w:spacing w:after="0"/>
              <w:rPr>
                <w:sz w:val="15"/>
                <w:szCs w:val="15"/>
                <w:color w:val="auto"/>
              </w:rPr>
            </w:pPr>
          </w:p>
        </w:tc>
        <w:tc>
          <w:tcPr>
            <w:tcW w:w="60" w:type="dxa"/>
            <w:vAlign w:val="bottom"/>
            <w:tcBorders>
              <w:top w:val="single" w:sz="8" w:color="EAEAEA"/>
            </w:tcBorders>
            <w:shd w:val="clear" w:color="auto" w:fill="EAEAEA"/>
          </w:tcPr>
          <w:p>
            <w:pPr>
              <w:spacing w:after="0"/>
              <w:rPr>
                <w:sz w:val="15"/>
                <w:szCs w:val="15"/>
                <w:color w:val="auto"/>
              </w:rPr>
            </w:pPr>
          </w:p>
        </w:tc>
        <w:tc>
          <w:tcPr>
            <w:tcW w:w="120" w:type="dxa"/>
            <w:vAlign w:val="bottom"/>
            <w:tcBorders>
              <w:top w:val="single" w:sz="8" w:color="EAEAEA"/>
            </w:tcBorders>
            <w:shd w:val="clear" w:color="auto" w:fill="EAEAEA"/>
          </w:tcPr>
          <w:p>
            <w:pPr>
              <w:spacing w:after="0"/>
              <w:rPr>
                <w:sz w:val="15"/>
                <w:szCs w:val="15"/>
                <w:color w:val="auto"/>
              </w:rPr>
            </w:pPr>
          </w:p>
        </w:tc>
        <w:tc>
          <w:tcPr>
            <w:tcW w:w="160" w:type="dxa"/>
            <w:vAlign w:val="bottom"/>
            <w:tcBorders>
              <w:top w:val="single" w:sz="8" w:color="EAEAEA"/>
            </w:tcBorders>
            <w:shd w:val="clear" w:color="auto" w:fill="EAEAEA"/>
          </w:tcPr>
          <w:p>
            <w:pPr>
              <w:spacing w:after="0"/>
              <w:rPr>
                <w:sz w:val="15"/>
                <w:szCs w:val="15"/>
                <w:color w:val="auto"/>
              </w:rPr>
            </w:pPr>
          </w:p>
        </w:tc>
        <w:tc>
          <w:tcPr>
            <w:tcW w:w="580" w:type="dxa"/>
            <w:vAlign w:val="bottom"/>
            <w:tcBorders>
              <w:top w:val="single" w:sz="8" w:color="EAEAEA"/>
            </w:tcBorders>
            <w:shd w:val="clear" w:color="auto" w:fill="EAEAEA"/>
          </w:tcPr>
          <w:p>
            <w:pPr>
              <w:spacing w:after="0"/>
              <w:rPr>
                <w:sz w:val="15"/>
                <w:szCs w:val="15"/>
                <w:color w:val="auto"/>
              </w:rPr>
            </w:pPr>
          </w:p>
        </w:tc>
        <w:tc>
          <w:tcPr>
            <w:tcW w:w="120" w:type="dxa"/>
            <w:vAlign w:val="bottom"/>
            <w:tcBorders>
              <w:top w:val="single" w:sz="8" w:color="EAEAEA"/>
            </w:tcBorders>
            <w:shd w:val="clear" w:color="auto" w:fill="EAEAEA"/>
          </w:tcPr>
          <w:p>
            <w:pPr>
              <w:spacing w:after="0"/>
              <w:rPr>
                <w:sz w:val="15"/>
                <w:szCs w:val="15"/>
                <w:color w:val="auto"/>
              </w:rPr>
            </w:pPr>
          </w:p>
        </w:tc>
        <w:tc>
          <w:tcPr>
            <w:tcW w:w="120" w:type="dxa"/>
            <w:vAlign w:val="bottom"/>
            <w:tcBorders>
              <w:top w:val="single" w:sz="8" w:color="EAEAEA"/>
            </w:tcBorders>
            <w:shd w:val="clear" w:color="auto" w:fill="EAEAEA"/>
          </w:tcPr>
          <w:p>
            <w:pPr>
              <w:spacing w:after="0"/>
              <w:rPr>
                <w:sz w:val="15"/>
                <w:szCs w:val="15"/>
                <w:color w:val="auto"/>
              </w:rPr>
            </w:pPr>
          </w:p>
        </w:tc>
        <w:tc>
          <w:tcPr>
            <w:tcW w:w="120" w:type="dxa"/>
            <w:vAlign w:val="bottom"/>
            <w:tcBorders>
              <w:top w:val="single" w:sz="8" w:color="EAEAEA"/>
            </w:tcBorders>
            <w:shd w:val="clear" w:color="auto" w:fill="EAEAEA"/>
          </w:tcPr>
          <w:p>
            <w:pPr>
              <w:spacing w:after="0"/>
              <w:rPr>
                <w:sz w:val="15"/>
                <w:szCs w:val="15"/>
                <w:color w:val="auto"/>
              </w:rPr>
            </w:pPr>
          </w:p>
        </w:tc>
        <w:tc>
          <w:tcPr>
            <w:tcW w:w="620" w:type="dxa"/>
            <w:vAlign w:val="bottom"/>
            <w:tcBorders>
              <w:top w:val="single" w:sz="8" w:color="EAEAEA"/>
            </w:tcBorders>
            <w:shd w:val="clear" w:color="auto" w:fill="EAEAEA"/>
          </w:tcPr>
          <w:p>
            <w:pPr>
              <w:spacing w:after="0"/>
              <w:rPr>
                <w:sz w:val="15"/>
                <w:szCs w:val="15"/>
                <w:color w:val="auto"/>
              </w:rPr>
            </w:pPr>
          </w:p>
        </w:tc>
        <w:tc>
          <w:tcPr>
            <w:tcW w:w="120" w:type="dxa"/>
            <w:vAlign w:val="bottom"/>
            <w:tcBorders>
              <w:top w:val="single" w:sz="8" w:color="EAEAEA"/>
            </w:tcBorders>
            <w:shd w:val="clear" w:color="auto" w:fill="EAEAEA"/>
          </w:tcPr>
          <w:p>
            <w:pPr>
              <w:spacing w:after="0"/>
              <w:rPr>
                <w:sz w:val="15"/>
                <w:szCs w:val="15"/>
                <w:color w:val="auto"/>
              </w:rPr>
            </w:pPr>
          </w:p>
        </w:tc>
        <w:tc>
          <w:tcPr>
            <w:tcW w:w="120" w:type="dxa"/>
            <w:vAlign w:val="bottom"/>
            <w:tcBorders>
              <w:top w:val="single" w:sz="8" w:color="EAEAEA"/>
            </w:tcBorders>
            <w:shd w:val="clear" w:color="auto" w:fill="EAEAEA"/>
          </w:tcPr>
          <w:p>
            <w:pPr>
              <w:spacing w:after="0"/>
              <w:rPr>
                <w:sz w:val="15"/>
                <w:szCs w:val="15"/>
                <w:color w:val="auto"/>
              </w:rPr>
            </w:pPr>
          </w:p>
        </w:tc>
        <w:tc>
          <w:tcPr>
            <w:tcW w:w="100" w:type="dxa"/>
            <w:vAlign w:val="bottom"/>
            <w:tcBorders>
              <w:top w:val="single" w:sz="8" w:color="EAEAEA"/>
            </w:tcBorders>
            <w:shd w:val="clear" w:color="auto" w:fill="EAEAEA"/>
          </w:tcPr>
          <w:p>
            <w:pPr>
              <w:spacing w:after="0"/>
              <w:rPr>
                <w:sz w:val="15"/>
                <w:szCs w:val="15"/>
                <w:color w:val="auto"/>
              </w:rPr>
            </w:pPr>
          </w:p>
        </w:tc>
        <w:tc>
          <w:tcPr>
            <w:tcW w:w="640" w:type="dxa"/>
            <w:vAlign w:val="bottom"/>
            <w:tcBorders>
              <w:top w:val="single" w:sz="8" w:color="EAEAEA"/>
            </w:tcBorders>
            <w:shd w:val="clear" w:color="auto" w:fill="EAEAEA"/>
          </w:tcPr>
          <w:p>
            <w:pPr>
              <w:spacing w:after="0"/>
              <w:rPr>
                <w:sz w:val="15"/>
                <w:szCs w:val="15"/>
                <w:color w:val="auto"/>
              </w:rPr>
            </w:pPr>
          </w:p>
        </w:tc>
        <w:tc>
          <w:tcPr>
            <w:tcW w:w="80" w:type="dxa"/>
            <w:vAlign w:val="bottom"/>
            <w:tcBorders>
              <w:top w:val="single" w:sz="8" w:color="EAEAEA"/>
            </w:tcBorders>
            <w:shd w:val="clear" w:color="auto" w:fill="EAEAEA"/>
          </w:tcPr>
          <w:p>
            <w:pPr>
              <w:spacing w:after="0"/>
              <w:rPr>
                <w:sz w:val="15"/>
                <w:szCs w:val="15"/>
                <w:color w:val="auto"/>
              </w:rPr>
            </w:pPr>
          </w:p>
        </w:tc>
      </w:tr>
      <w:tr>
        <w:trPr>
          <w:trHeight w:val="246"/>
        </w:trPr>
        <w:tc>
          <w:tcPr>
            <w:tcW w:w="2560" w:type="dxa"/>
            <w:vAlign w:val="bottom"/>
            <w:gridSpan w:val="5"/>
            <w:shd w:val="clear" w:color="auto" w:fill="EAEAEA"/>
          </w:tcPr>
          <w:p>
            <w:pPr>
              <w:spacing w:after="0"/>
              <w:rPr>
                <w:sz w:val="20"/>
                <w:szCs w:val="20"/>
                <w:color w:val="auto"/>
              </w:rPr>
            </w:pPr>
            <w:r>
              <w:rPr>
                <w:rFonts w:ascii="Times New Roman" w:cs="Times New Roman" w:eastAsia="Times New Roman" w:hAnsi="Times New Roman"/>
                <w:sz w:val="18"/>
                <w:szCs w:val="18"/>
                <w:b w:val="1"/>
                <w:bCs w:val="1"/>
                <w:color w:val="auto"/>
              </w:rPr>
              <w:t>amounts )</w:t>
            </w:r>
          </w:p>
        </w:tc>
        <w:tc>
          <w:tcPr>
            <w:tcW w:w="760" w:type="dxa"/>
            <w:vAlign w:val="bottom"/>
            <w:tcBorders>
              <w:right w:val="single" w:sz="8" w:color="EAEAEA"/>
            </w:tcBorders>
            <w:gridSpan w:val="2"/>
            <w:shd w:val="clear" w:color="auto" w:fill="EAEAEA"/>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shd w:val="clear" w:color="auto" w:fill="EAEAEA"/>
          </w:tcPr>
          <w:p>
            <w:pPr>
              <w:spacing w:after="0"/>
              <w:rPr>
                <w:sz w:val="21"/>
                <w:szCs w:val="21"/>
                <w:color w:val="auto"/>
              </w:rPr>
            </w:pPr>
          </w:p>
        </w:tc>
        <w:tc>
          <w:tcPr>
            <w:tcW w:w="76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shd w:val="clear" w:color="auto" w:fill="EAEAEA"/>
          </w:tcPr>
          <w:p>
            <w:pPr>
              <w:spacing w:after="0"/>
              <w:rPr>
                <w:sz w:val="21"/>
                <w:szCs w:val="21"/>
                <w:color w:val="auto"/>
              </w:rPr>
            </w:pPr>
          </w:p>
        </w:tc>
        <w:tc>
          <w:tcPr>
            <w:tcW w:w="760" w:type="dxa"/>
            <w:vAlign w:val="bottom"/>
            <w:tcBorders>
              <w:right w:val="single" w:sz="8" w:color="EAEAEA"/>
            </w:tcBorders>
            <w:gridSpan w:val="2"/>
            <w:shd w:val="clear" w:color="auto" w:fill="EAEAEA"/>
          </w:tcPr>
          <w:p>
            <w:pPr>
              <w:ind w:left="1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76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shd w:val="clear" w:color="auto" w:fill="EAEAEA"/>
          </w:tcPr>
          <w:p>
            <w:pPr>
              <w:spacing w:after="0"/>
              <w:rPr>
                <w:sz w:val="21"/>
                <w:szCs w:val="21"/>
                <w:color w:val="auto"/>
              </w:rPr>
            </w:pPr>
          </w:p>
        </w:tc>
        <w:tc>
          <w:tcPr>
            <w:tcW w:w="740" w:type="dxa"/>
            <w:vAlign w:val="bottom"/>
            <w:shd w:val="clear" w:color="auto" w:fill="EAEAEA"/>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shd w:val="clear" w:color="auto" w:fill="EAEAEA"/>
          </w:tcPr>
          <w:p>
            <w:pPr>
              <w:spacing w:after="0"/>
              <w:rPr>
                <w:sz w:val="21"/>
                <w:szCs w:val="21"/>
                <w:color w:val="auto"/>
              </w:rPr>
            </w:pPr>
          </w:p>
        </w:tc>
        <w:tc>
          <w:tcPr>
            <w:tcW w:w="74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shd w:val="clear" w:color="auto" w:fill="EAEAEA"/>
          </w:tcPr>
          <w:p>
            <w:pPr>
              <w:spacing w:after="0"/>
              <w:rPr>
                <w:sz w:val="21"/>
                <w:szCs w:val="21"/>
                <w:color w:val="auto"/>
              </w:rPr>
            </w:pPr>
          </w:p>
        </w:tc>
        <w:tc>
          <w:tcPr>
            <w:tcW w:w="240" w:type="dxa"/>
            <w:vAlign w:val="bottom"/>
            <w:shd w:val="clear" w:color="auto" w:fill="EAEAEA"/>
          </w:tcPr>
          <w:p>
            <w:pPr>
              <w:spacing w:after="0"/>
              <w:rPr>
                <w:sz w:val="21"/>
                <w:szCs w:val="21"/>
                <w:color w:val="auto"/>
              </w:rPr>
            </w:pPr>
          </w:p>
        </w:tc>
        <w:tc>
          <w:tcPr>
            <w:tcW w:w="64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660" w:type="dxa"/>
            <w:vAlign w:val="bottom"/>
            <w:shd w:val="clear" w:color="auto" w:fill="EAEAEA"/>
          </w:tcPr>
          <w:p>
            <w:pPr>
              <w:spacing w:after="0"/>
              <w:rPr>
                <w:sz w:val="21"/>
                <w:szCs w:val="21"/>
                <w:color w:val="auto"/>
              </w:rPr>
            </w:pPr>
          </w:p>
        </w:tc>
        <w:tc>
          <w:tcPr>
            <w:tcW w:w="6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860" w:type="dxa"/>
            <w:vAlign w:val="bottom"/>
            <w:gridSpan w:val="3"/>
            <w:shd w:val="clear" w:color="auto" w:fill="EAEAEA"/>
          </w:tcPr>
          <w:p>
            <w:pPr>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0" w:type="dxa"/>
            <w:vAlign w:val="bottom"/>
            <w:shd w:val="clear" w:color="auto" w:fill="EAEAEA"/>
          </w:tcPr>
          <w:p>
            <w:pPr>
              <w:spacing w:after="0"/>
              <w:rPr>
                <w:sz w:val="21"/>
                <w:szCs w:val="21"/>
                <w:color w:val="auto"/>
              </w:rPr>
            </w:pPr>
          </w:p>
        </w:tc>
        <w:tc>
          <w:tcPr>
            <w:tcW w:w="980" w:type="dxa"/>
            <w:vAlign w:val="bottom"/>
            <w:gridSpan w:val="4"/>
            <w:shd w:val="clear" w:color="auto" w:fill="EAEAEA"/>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00" w:type="dxa"/>
            <w:vAlign w:val="bottom"/>
            <w:shd w:val="clear" w:color="auto" w:fill="EAEAEA"/>
          </w:tcPr>
          <w:p>
            <w:pPr>
              <w:spacing w:after="0"/>
              <w:rPr>
                <w:sz w:val="21"/>
                <w:szCs w:val="21"/>
                <w:color w:val="auto"/>
              </w:rPr>
            </w:pPr>
          </w:p>
        </w:tc>
        <w:tc>
          <w:tcPr>
            <w:tcW w:w="64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r>
      <w:tr>
        <w:trPr>
          <w:trHeight w:val="177"/>
        </w:trPr>
        <w:tc>
          <w:tcPr>
            <w:tcW w:w="2440" w:type="dxa"/>
            <w:vAlign w:val="bottom"/>
            <w:tcBorders>
              <w:top w:val="single" w:sz="8" w:color="auto"/>
            </w:tcBorders>
            <w:gridSpan w:val="2"/>
          </w:tcPr>
          <w:p>
            <w:pPr>
              <w:spacing w:after="0" w:line="177" w:lineRule="exact"/>
              <w:rPr>
                <w:sz w:val="20"/>
                <w:szCs w:val="20"/>
                <w:color w:val="auto"/>
              </w:rPr>
            </w:pPr>
            <w:r>
              <w:rPr>
                <w:rFonts w:ascii="Times New Roman" w:cs="Times New Roman" w:eastAsia="Times New Roman" w:hAnsi="Times New Roman"/>
                <w:sz w:val="18"/>
                <w:szCs w:val="18"/>
                <w:color w:val="auto"/>
              </w:rPr>
              <w:t>Balance, December 31, 2024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4,913,06</w:t>
            </w:r>
          </w:p>
        </w:tc>
        <w:tc>
          <w:tcPr>
            <w:tcW w:w="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27,886,9</w:t>
            </w: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43"/>
        </w:trPr>
        <w:tc>
          <w:tcPr>
            <w:tcW w:w="2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1"/>
                <w:szCs w:val="21"/>
                <w:color w:val="auto"/>
              </w:rPr>
            </w:pPr>
          </w:p>
        </w:tc>
        <w:tc>
          <w:tcPr>
            <w:tcW w:w="7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11,782</w:t>
            </w:r>
          </w:p>
        </w:tc>
        <w:tc>
          <w:tcPr>
            <w:tcW w:w="14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44,117</w:t>
            </w:r>
          </w:p>
        </w:tc>
        <w:tc>
          <w:tcPr>
            <w:tcW w:w="80" w:type="dxa"/>
            <w:vAlign w:val="bottom"/>
          </w:tcPr>
          <w:p>
            <w:pPr>
              <w:spacing w:after="0"/>
              <w:rPr>
                <w:sz w:val="21"/>
                <w:szCs w:val="21"/>
                <w:color w:val="auto"/>
              </w:rPr>
            </w:pPr>
          </w:p>
        </w:tc>
      </w:tr>
      <w:tr>
        <w:trPr>
          <w:trHeight w:val="224"/>
        </w:trPr>
        <w:tc>
          <w:tcPr>
            <w:tcW w:w="2560" w:type="dxa"/>
            <w:vAlign w:val="bottom"/>
            <w:gridSpan w:val="5"/>
            <w:shd w:val="clear" w:color="auto" w:fill="EAEAEA"/>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720" w:type="dxa"/>
            <w:vAlign w:val="bottom"/>
            <w:shd w:val="clear" w:color="auto" w:fill="EAEAEA"/>
          </w:tcPr>
          <w:p>
            <w:pPr>
              <w:spacing w:after="0"/>
              <w:rPr>
                <w:sz w:val="19"/>
                <w:szCs w:val="19"/>
                <w:color w:val="auto"/>
              </w:rPr>
            </w:pPr>
          </w:p>
        </w:tc>
        <w:tc>
          <w:tcPr>
            <w:tcW w:w="40" w:type="dxa"/>
            <w:vAlign w:val="bottom"/>
            <w:tcBorders>
              <w:right w:val="single" w:sz="8" w:color="EAEAEA"/>
            </w:tcBorders>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560" w:type="dxa"/>
            <w:vAlign w:val="bottom"/>
            <w:shd w:val="clear" w:color="auto" w:fill="EAEAEA"/>
          </w:tcPr>
          <w:p>
            <w:pPr>
              <w:spacing w:after="0"/>
              <w:rPr>
                <w:sz w:val="19"/>
                <w:szCs w:val="19"/>
                <w:color w:val="auto"/>
              </w:rPr>
            </w:pPr>
          </w:p>
        </w:tc>
        <w:tc>
          <w:tcPr>
            <w:tcW w:w="20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720" w:type="dxa"/>
            <w:vAlign w:val="bottom"/>
            <w:shd w:val="clear" w:color="auto" w:fill="EAEAEA"/>
          </w:tcPr>
          <w:p>
            <w:pPr>
              <w:spacing w:after="0"/>
              <w:rPr>
                <w:sz w:val="19"/>
                <w:szCs w:val="19"/>
                <w:color w:val="auto"/>
              </w:rPr>
            </w:pPr>
          </w:p>
        </w:tc>
        <w:tc>
          <w:tcPr>
            <w:tcW w:w="40" w:type="dxa"/>
            <w:vAlign w:val="bottom"/>
            <w:tcBorders>
              <w:right w:val="single" w:sz="8" w:color="EAEAEA"/>
            </w:tcBorders>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52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74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300" w:type="dxa"/>
            <w:vAlign w:val="bottom"/>
            <w:shd w:val="clear" w:color="auto" w:fill="EAEAEA"/>
          </w:tcPr>
          <w:p>
            <w:pPr>
              <w:spacing w:after="0"/>
              <w:rPr>
                <w:sz w:val="19"/>
                <w:szCs w:val="19"/>
                <w:color w:val="auto"/>
              </w:rPr>
            </w:pPr>
          </w:p>
        </w:tc>
        <w:tc>
          <w:tcPr>
            <w:tcW w:w="44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6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66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700" w:type="dxa"/>
            <w:vAlign w:val="bottom"/>
            <w:gridSpan w:val="2"/>
            <w:shd w:val="clear" w:color="auto" w:fill="EAEAEA"/>
          </w:tcPr>
          <w:p>
            <w:pPr>
              <w:jc w:val="right"/>
              <w:ind w:right="60"/>
              <w:spacing w:after="0"/>
              <w:rPr>
                <w:sz w:val="20"/>
                <w:szCs w:val="20"/>
                <w:color w:val="auto"/>
              </w:rPr>
            </w:pPr>
            <w:r>
              <w:rPr>
                <w:rFonts w:ascii="Times New Roman" w:cs="Times New Roman" w:eastAsia="Times New Roman" w:hAnsi="Times New Roman"/>
                <w:sz w:val="18"/>
                <w:szCs w:val="18"/>
                <w:color w:val="auto"/>
              </w:rPr>
              <w:t>(3,026)</w:t>
            </w:r>
          </w:p>
        </w:tc>
        <w:tc>
          <w:tcPr>
            <w:tcW w:w="12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740" w:type="dxa"/>
            <w:vAlign w:val="bottom"/>
            <w:gridSpan w:val="2"/>
            <w:shd w:val="clear" w:color="auto" w:fill="EAEAEA"/>
          </w:tcPr>
          <w:p>
            <w:pPr>
              <w:jc w:val="right"/>
              <w:ind w:right="60"/>
              <w:spacing w:after="0"/>
              <w:rPr>
                <w:sz w:val="20"/>
                <w:szCs w:val="20"/>
                <w:color w:val="auto"/>
              </w:rPr>
            </w:pPr>
            <w:r>
              <w:rPr>
                <w:rFonts w:ascii="Times New Roman" w:cs="Times New Roman" w:eastAsia="Times New Roman" w:hAnsi="Times New Roman"/>
                <w:sz w:val="18"/>
                <w:szCs w:val="18"/>
                <w:color w:val="auto"/>
              </w:rPr>
              <w:t>(16,349)</w:t>
            </w:r>
          </w:p>
        </w:tc>
        <w:tc>
          <w:tcPr>
            <w:tcW w:w="12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72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18"/>
                <w:szCs w:val="18"/>
                <w:color w:val="auto"/>
              </w:rPr>
              <w:t>(19,375)</w:t>
            </w:r>
          </w:p>
        </w:tc>
      </w:tr>
      <w:tr>
        <w:trPr>
          <w:trHeight w:val="221"/>
        </w:trPr>
        <w:tc>
          <w:tcPr>
            <w:tcW w:w="25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52,127</w:t>
            </w:r>
          </w:p>
        </w:tc>
        <w:tc>
          <w:tcPr>
            <w:tcW w:w="40" w:type="dxa"/>
            <w:vAlign w:val="bottom"/>
          </w:tcPr>
          <w:p>
            <w:pPr>
              <w:spacing w:after="0"/>
              <w:rPr>
                <w:sz w:val="19"/>
                <w:szCs w:val="19"/>
                <w:color w:val="auto"/>
              </w:rPr>
            </w:pPr>
          </w:p>
        </w:tc>
        <w:tc>
          <w:tcPr>
            <w:tcW w:w="7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80" w:type="dxa"/>
            <w:vAlign w:val="bottom"/>
          </w:tcPr>
          <w:p>
            <w:pPr>
              <w:spacing w:after="0"/>
              <w:rPr>
                <w:sz w:val="19"/>
                <w:szCs w:val="19"/>
                <w:color w:val="auto"/>
              </w:rPr>
            </w:pPr>
          </w:p>
        </w:tc>
      </w:tr>
      <w:tr>
        <w:trPr>
          <w:trHeight w:val="182"/>
        </w:trPr>
        <w:tc>
          <w:tcPr>
            <w:tcW w:w="2560" w:type="dxa"/>
            <w:vAlign w:val="bottom"/>
            <w:gridSpan w:val="5"/>
            <w:shd w:val="clear" w:color="auto" w:fill="EAEAEA"/>
          </w:tcPr>
          <w:p>
            <w:pPr>
              <w:ind w:left="100"/>
              <w:spacing w:after="0" w:line="182" w:lineRule="exact"/>
              <w:rPr>
                <w:sz w:val="20"/>
                <w:szCs w:val="20"/>
                <w:color w:val="auto"/>
              </w:rPr>
            </w:pPr>
            <w:r>
              <w:rPr>
                <w:rFonts w:ascii="Times New Roman" w:cs="Times New Roman" w:eastAsia="Times New Roman" w:hAnsi="Times New Roman"/>
                <w:sz w:val="18"/>
                <w:szCs w:val="18"/>
                <w:color w:val="auto"/>
              </w:rPr>
              <w:t>Adjustment to tax liabilities</w:t>
            </w:r>
          </w:p>
        </w:tc>
        <w:tc>
          <w:tcPr>
            <w:tcW w:w="720" w:type="dxa"/>
            <w:vAlign w:val="bottom"/>
            <w:shd w:val="clear" w:color="auto" w:fill="EAEAEA"/>
          </w:tcPr>
          <w:p>
            <w:pPr>
              <w:spacing w:after="0"/>
              <w:rPr>
                <w:sz w:val="15"/>
                <w:szCs w:val="15"/>
                <w:color w:val="auto"/>
              </w:rPr>
            </w:pPr>
          </w:p>
        </w:tc>
        <w:tc>
          <w:tcPr>
            <w:tcW w:w="40" w:type="dxa"/>
            <w:vAlign w:val="bottom"/>
            <w:tcBorders>
              <w:right w:val="single" w:sz="8" w:color="EAEAEA"/>
            </w:tcBorders>
            <w:shd w:val="clear" w:color="auto" w:fill="EAEAEA"/>
          </w:tcPr>
          <w:p>
            <w:pPr>
              <w:spacing w:after="0"/>
              <w:rPr>
                <w:sz w:val="15"/>
                <w:szCs w:val="15"/>
                <w:color w:val="auto"/>
              </w:rPr>
            </w:pPr>
          </w:p>
        </w:tc>
        <w:tc>
          <w:tcPr>
            <w:tcW w:w="140" w:type="dxa"/>
            <w:vAlign w:val="bottom"/>
            <w:shd w:val="clear" w:color="auto" w:fill="EAEAEA"/>
          </w:tcPr>
          <w:p>
            <w:pPr>
              <w:spacing w:after="0"/>
              <w:rPr>
                <w:sz w:val="15"/>
                <w:szCs w:val="15"/>
                <w:color w:val="auto"/>
              </w:rPr>
            </w:pPr>
          </w:p>
        </w:tc>
        <w:tc>
          <w:tcPr>
            <w:tcW w:w="560" w:type="dxa"/>
            <w:vAlign w:val="bottom"/>
            <w:shd w:val="clear" w:color="auto" w:fill="EAEAEA"/>
          </w:tcPr>
          <w:p>
            <w:pPr>
              <w:spacing w:after="0"/>
              <w:rPr>
                <w:sz w:val="15"/>
                <w:szCs w:val="15"/>
                <w:color w:val="auto"/>
              </w:rPr>
            </w:pPr>
          </w:p>
        </w:tc>
        <w:tc>
          <w:tcPr>
            <w:tcW w:w="200" w:type="dxa"/>
            <w:vAlign w:val="bottom"/>
            <w:shd w:val="clear" w:color="auto" w:fill="EAEAEA"/>
          </w:tcPr>
          <w:p>
            <w:pPr>
              <w:spacing w:after="0"/>
              <w:rPr>
                <w:sz w:val="15"/>
                <w:szCs w:val="15"/>
                <w:color w:val="auto"/>
              </w:rPr>
            </w:pPr>
          </w:p>
        </w:tc>
        <w:tc>
          <w:tcPr>
            <w:tcW w:w="180" w:type="dxa"/>
            <w:vAlign w:val="bottom"/>
            <w:shd w:val="clear" w:color="auto" w:fill="EAEAEA"/>
          </w:tcPr>
          <w:p>
            <w:pPr>
              <w:spacing w:after="0"/>
              <w:rPr>
                <w:sz w:val="15"/>
                <w:szCs w:val="15"/>
                <w:color w:val="auto"/>
              </w:rPr>
            </w:pPr>
          </w:p>
        </w:tc>
        <w:tc>
          <w:tcPr>
            <w:tcW w:w="720" w:type="dxa"/>
            <w:vAlign w:val="bottom"/>
            <w:shd w:val="clear" w:color="auto" w:fill="EAEAEA"/>
          </w:tcPr>
          <w:p>
            <w:pPr>
              <w:spacing w:after="0"/>
              <w:rPr>
                <w:sz w:val="15"/>
                <w:szCs w:val="15"/>
                <w:color w:val="auto"/>
              </w:rPr>
            </w:pPr>
          </w:p>
        </w:tc>
        <w:tc>
          <w:tcPr>
            <w:tcW w:w="40" w:type="dxa"/>
            <w:vAlign w:val="bottom"/>
            <w:tcBorders>
              <w:right w:val="single" w:sz="8" w:color="EAEAEA"/>
            </w:tcBorders>
            <w:shd w:val="clear" w:color="auto" w:fill="EAEAEA"/>
          </w:tcPr>
          <w:p>
            <w:pPr>
              <w:spacing w:after="0"/>
              <w:rPr>
                <w:sz w:val="15"/>
                <w:szCs w:val="15"/>
                <w:color w:val="auto"/>
              </w:rPr>
            </w:pPr>
          </w:p>
        </w:tc>
        <w:tc>
          <w:tcPr>
            <w:tcW w:w="100" w:type="dxa"/>
            <w:vAlign w:val="bottom"/>
            <w:shd w:val="clear" w:color="auto" w:fill="EAEAEA"/>
          </w:tcPr>
          <w:p>
            <w:pPr>
              <w:spacing w:after="0"/>
              <w:rPr>
                <w:sz w:val="15"/>
                <w:szCs w:val="15"/>
                <w:color w:val="auto"/>
              </w:rPr>
            </w:pPr>
          </w:p>
        </w:tc>
        <w:tc>
          <w:tcPr>
            <w:tcW w:w="120" w:type="dxa"/>
            <w:vAlign w:val="bottom"/>
            <w:shd w:val="clear" w:color="auto" w:fill="EAEAEA"/>
          </w:tcPr>
          <w:p>
            <w:pPr>
              <w:spacing w:after="0"/>
              <w:rPr>
                <w:sz w:val="15"/>
                <w:szCs w:val="15"/>
                <w:color w:val="auto"/>
              </w:rPr>
            </w:pPr>
          </w:p>
        </w:tc>
        <w:tc>
          <w:tcPr>
            <w:tcW w:w="520" w:type="dxa"/>
            <w:vAlign w:val="bottom"/>
            <w:shd w:val="clear" w:color="auto" w:fill="EAEAEA"/>
          </w:tcPr>
          <w:p>
            <w:pPr>
              <w:spacing w:after="0"/>
              <w:rPr>
                <w:sz w:val="15"/>
                <w:szCs w:val="15"/>
                <w:color w:val="auto"/>
              </w:rPr>
            </w:pPr>
          </w:p>
        </w:tc>
        <w:tc>
          <w:tcPr>
            <w:tcW w:w="240" w:type="dxa"/>
            <w:vAlign w:val="bottom"/>
            <w:shd w:val="clear" w:color="auto" w:fill="EAEAEA"/>
          </w:tcPr>
          <w:p>
            <w:pPr>
              <w:spacing w:after="0"/>
              <w:rPr>
                <w:sz w:val="15"/>
                <w:szCs w:val="15"/>
                <w:color w:val="auto"/>
              </w:rPr>
            </w:pPr>
          </w:p>
        </w:tc>
        <w:tc>
          <w:tcPr>
            <w:tcW w:w="180" w:type="dxa"/>
            <w:vAlign w:val="bottom"/>
            <w:shd w:val="clear" w:color="auto" w:fill="EAEAEA"/>
          </w:tcPr>
          <w:p>
            <w:pPr>
              <w:spacing w:after="0"/>
              <w:rPr>
                <w:sz w:val="15"/>
                <w:szCs w:val="15"/>
                <w:color w:val="auto"/>
              </w:rPr>
            </w:pPr>
          </w:p>
        </w:tc>
        <w:tc>
          <w:tcPr>
            <w:tcW w:w="740" w:type="dxa"/>
            <w:vAlign w:val="bottom"/>
            <w:shd w:val="clear" w:color="auto" w:fill="EAEAEA"/>
          </w:tcPr>
          <w:p>
            <w:pPr>
              <w:spacing w:after="0"/>
              <w:rPr>
                <w:sz w:val="15"/>
                <w:szCs w:val="15"/>
                <w:color w:val="auto"/>
              </w:rPr>
            </w:pPr>
          </w:p>
        </w:tc>
        <w:tc>
          <w:tcPr>
            <w:tcW w:w="180" w:type="dxa"/>
            <w:vAlign w:val="bottom"/>
            <w:shd w:val="clear" w:color="auto" w:fill="EAEAEA"/>
          </w:tcPr>
          <w:p>
            <w:pPr>
              <w:spacing w:after="0"/>
              <w:rPr>
                <w:sz w:val="15"/>
                <w:szCs w:val="15"/>
                <w:color w:val="auto"/>
              </w:rPr>
            </w:pPr>
          </w:p>
        </w:tc>
        <w:tc>
          <w:tcPr>
            <w:tcW w:w="300" w:type="dxa"/>
            <w:vAlign w:val="bottom"/>
            <w:shd w:val="clear" w:color="auto" w:fill="EAEAEA"/>
          </w:tcPr>
          <w:p>
            <w:pPr>
              <w:spacing w:after="0"/>
              <w:rPr>
                <w:sz w:val="15"/>
                <w:szCs w:val="15"/>
                <w:color w:val="auto"/>
              </w:rPr>
            </w:pPr>
          </w:p>
        </w:tc>
        <w:tc>
          <w:tcPr>
            <w:tcW w:w="440" w:type="dxa"/>
            <w:vAlign w:val="bottom"/>
            <w:shd w:val="clear" w:color="auto" w:fill="EAEAEA"/>
          </w:tcPr>
          <w:p>
            <w:pPr>
              <w:spacing w:after="0"/>
              <w:rPr>
                <w:sz w:val="15"/>
                <w:szCs w:val="15"/>
                <w:color w:val="auto"/>
              </w:rPr>
            </w:pPr>
          </w:p>
        </w:tc>
        <w:tc>
          <w:tcPr>
            <w:tcW w:w="120" w:type="dxa"/>
            <w:vAlign w:val="bottom"/>
            <w:shd w:val="clear" w:color="auto" w:fill="EAEAEA"/>
          </w:tcPr>
          <w:p>
            <w:pPr>
              <w:spacing w:after="0"/>
              <w:rPr>
                <w:sz w:val="15"/>
                <w:szCs w:val="15"/>
                <w:color w:val="auto"/>
              </w:rPr>
            </w:pPr>
          </w:p>
        </w:tc>
        <w:tc>
          <w:tcPr>
            <w:tcW w:w="240" w:type="dxa"/>
            <w:vAlign w:val="bottom"/>
            <w:shd w:val="clear" w:color="auto" w:fill="EAEAEA"/>
          </w:tcPr>
          <w:p>
            <w:pPr>
              <w:spacing w:after="0"/>
              <w:rPr>
                <w:sz w:val="15"/>
                <w:szCs w:val="15"/>
                <w:color w:val="auto"/>
              </w:rPr>
            </w:pPr>
          </w:p>
        </w:tc>
        <w:tc>
          <w:tcPr>
            <w:tcW w:w="640" w:type="dxa"/>
            <w:vAlign w:val="bottom"/>
            <w:shd w:val="clear" w:color="auto" w:fill="EAEAEA"/>
          </w:tcPr>
          <w:p>
            <w:pPr>
              <w:spacing w:after="0"/>
              <w:rPr>
                <w:sz w:val="15"/>
                <w:szCs w:val="15"/>
                <w:color w:val="auto"/>
              </w:rPr>
            </w:pPr>
          </w:p>
        </w:tc>
        <w:tc>
          <w:tcPr>
            <w:tcW w:w="140" w:type="dxa"/>
            <w:vAlign w:val="bottom"/>
            <w:shd w:val="clear" w:color="auto" w:fill="EAEAEA"/>
          </w:tcPr>
          <w:p>
            <w:pPr>
              <w:spacing w:after="0"/>
              <w:rPr>
                <w:sz w:val="15"/>
                <w:szCs w:val="15"/>
                <w:color w:val="auto"/>
              </w:rPr>
            </w:pPr>
          </w:p>
        </w:tc>
        <w:tc>
          <w:tcPr>
            <w:tcW w:w="120" w:type="dxa"/>
            <w:vAlign w:val="bottom"/>
            <w:shd w:val="clear" w:color="auto" w:fill="EAEAEA"/>
          </w:tcPr>
          <w:p>
            <w:pPr>
              <w:spacing w:after="0"/>
              <w:rPr>
                <w:sz w:val="15"/>
                <w:szCs w:val="15"/>
                <w:color w:val="auto"/>
              </w:rPr>
            </w:pPr>
          </w:p>
        </w:tc>
        <w:tc>
          <w:tcPr>
            <w:tcW w:w="100" w:type="dxa"/>
            <w:vAlign w:val="bottom"/>
            <w:shd w:val="clear" w:color="auto" w:fill="EAEAEA"/>
          </w:tcPr>
          <w:p>
            <w:pPr>
              <w:spacing w:after="0"/>
              <w:rPr>
                <w:sz w:val="15"/>
                <w:szCs w:val="15"/>
                <w:color w:val="auto"/>
              </w:rPr>
            </w:pPr>
          </w:p>
        </w:tc>
        <w:tc>
          <w:tcPr>
            <w:tcW w:w="660" w:type="dxa"/>
            <w:vAlign w:val="bottom"/>
            <w:shd w:val="clear" w:color="auto" w:fill="EAEAEA"/>
          </w:tcPr>
          <w:p>
            <w:pPr>
              <w:spacing w:after="0"/>
              <w:rPr>
                <w:sz w:val="15"/>
                <w:szCs w:val="15"/>
                <w:color w:val="auto"/>
              </w:rPr>
            </w:pPr>
          </w:p>
        </w:tc>
        <w:tc>
          <w:tcPr>
            <w:tcW w:w="60" w:type="dxa"/>
            <w:vAlign w:val="bottom"/>
            <w:shd w:val="clear" w:color="auto" w:fill="EAEAEA"/>
          </w:tcPr>
          <w:p>
            <w:pPr>
              <w:spacing w:after="0"/>
              <w:rPr>
                <w:sz w:val="15"/>
                <w:szCs w:val="15"/>
                <w:color w:val="auto"/>
              </w:rPr>
            </w:pPr>
          </w:p>
        </w:tc>
        <w:tc>
          <w:tcPr>
            <w:tcW w:w="120" w:type="dxa"/>
            <w:vAlign w:val="bottom"/>
            <w:shd w:val="clear" w:color="auto" w:fill="EAEAEA"/>
          </w:tcPr>
          <w:p>
            <w:pPr>
              <w:spacing w:after="0"/>
              <w:rPr>
                <w:sz w:val="15"/>
                <w:szCs w:val="15"/>
                <w:color w:val="auto"/>
              </w:rPr>
            </w:pPr>
          </w:p>
        </w:tc>
        <w:tc>
          <w:tcPr>
            <w:tcW w:w="160" w:type="dxa"/>
            <w:vAlign w:val="bottom"/>
            <w:shd w:val="clear" w:color="auto" w:fill="EAEAEA"/>
          </w:tcPr>
          <w:p>
            <w:pPr>
              <w:spacing w:after="0"/>
              <w:rPr>
                <w:sz w:val="15"/>
                <w:szCs w:val="15"/>
                <w:color w:val="auto"/>
              </w:rPr>
            </w:pPr>
          </w:p>
        </w:tc>
        <w:tc>
          <w:tcPr>
            <w:tcW w:w="580" w:type="dxa"/>
            <w:vAlign w:val="bottom"/>
            <w:shd w:val="clear" w:color="auto" w:fill="EAEAEA"/>
          </w:tcPr>
          <w:p>
            <w:pPr>
              <w:spacing w:after="0"/>
              <w:rPr>
                <w:sz w:val="15"/>
                <w:szCs w:val="15"/>
                <w:color w:val="auto"/>
              </w:rPr>
            </w:pPr>
          </w:p>
        </w:tc>
        <w:tc>
          <w:tcPr>
            <w:tcW w:w="120" w:type="dxa"/>
            <w:vAlign w:val="bottom"/>
            <w:shd w:val="clear" w:color="auto" w:fill="EAEAEA"/>
          </w:tcPr>
          <w:p>
            <w:pPr>
              <w:spacing w:after="0"/>
              <w:rPr>
                <w:sz w:val="15"/>
                <w:szCs w:val="15"/>
                <w:color w:val="auto"/>
              </w:rPr>
            </w:pPr>
          </w:p>
        </w:tc>
        <w:tc>
          <w:tcPr>
            <w:tcW w:w="120" w:type="dxa"/>
            <w:vAlign w:val="bottom"/>
            <w:shd w:val="clear" w:color="auto" w:fill="EAEAEA"/>
          </w:tcPr>
          <w:p>
            <w:pPr>
              <w:spacing w:after="0"/>
              <w:rPr>
                <w:sz w:val="15"/>
                <w:szCs w:val="15"/>
                <w:color w:val="auto"/>
              </w:rPr>
            </w:pPr>
          </w:p>
        </w:tc>
        <w:tc>
          <w:tcPr>
            <w:tcW w:w="120" w:type="dxa"/>
            <w:vAlign w:val="bottom"/>
            <w:shd w:val="clear" w:color="auto" w:fill="EAEAEA"/>
          </w:tcPr>
          <w:p>
            <w:pPr>
              <w:spacing w:after="0"/>
              <w:rPr>
                <w:sz w:val="15"/>
                <w:szCs w:val="15"/>
                <w:color w:val="auto"/>
              </w:rPr>
            </w:pPr>
          </w:p>
        </w:tc>
        <w:tc>
          <w:tcPr>
            <w:tcW w:w="620" w:type="dxa"/>
            <w:vAlign w:val="bottom"/>
            <w:shd w:val="clear" w:color="auto" w:fill="EAEAEA"/>
          </w:tcPr>
          <w:p>
            <w:pPr>
              <w:spacing w:after="0"/>
              <w:rPr>
                <w:sz w:val="15"/>
                <w:szCs w:val="15"/>
                <w:color w:val="auto"/>
              </w:rPr>
            </w:pPr>
          </w:p>
        </w:tc>
        <w:tc>
          <w:tcPr>
            <w:tcW w:w="120" w:type="dxa"/>
            <w:vAlign w:val="bottom"/>
            <w:shd w:val="clear" w:color="auto" w:fill="EAEAEA"/>
          </w:tcPr>
          <w:p>
            <w:pPr>
              <w:spacing w:after="0"/>
              <w:rPr>
                <w:sz w:val="15"/>
                <w:szCs w:val="15"/>
                <w:color w:val="auto"/>
              </w:rPr>
            </w:pPr>
          </w:p>
        </w:tc>
        <w:tc>
          <w:tcPr>
            <w:tcW w:w="120" w:type="dxa"/>
            <w:vAlign w:val="bottom"/>
            <w:shd w:val="clear" w:color="auto" w:fill="EAEAEA"/>
          </w:tcPr>
          <w:p>
            <w:pPr>
              <w:spacing w:after="0"/>
              <w:rPr>
                <w:sz w:val="15"/>
                <w:szCs w:val="15"/>
                <w:color w:val="auto"/>
              </w:rPr>
            </w:pPr>
          </w:p>
        </w:tc>
        <w:tc>
          <w:tcPr>
            <w:tcW w:w="100" w:type="dxa"/>
            <w:vAlign w:val="bottom"/>
            <w:shd w:val="clear" w:color="auto" w:fill="EAEAEA"/>
          </w:tcPr>
          <w:p>
            <w:pPr>
              <w:spacing w:after="0"/>
              <w:rPr>
                <w:sz w:val="15"/>
                <w:szCs w:val="15"/>
                <w:color w:val="auto"/>
              </w:rPr>
            </w:pPr>
          </w:p>
        </w:tc>
        <w:tc>
          <w:tcPr>
            <w:tcW w:w="640" w:type="dxa"/>
            <w:vAlign w:val="bottom"/>
            <w:shd w:val="clear" w:color="auto" w:fill="EAEAEA"/>
          </w:tcPr>
          <w:p>
            <w:pPr>
              <w:spacing w:after="0"/>
              <w:rPr>
                <w:sz w:val="15"/>
                <w:szCs w:val="15"/>
                <w:color w:val="auto"/>
              </w:rPr>
            </w:pPr>
          </w:p>
        </w:tc>
        <w:tc>
          <w:tcPr>
            <w:tcW w:w="80" w:type="dxa"/>
            <w:vAlign w:val="bottom"/>
            <w:shd w:val="clear" w:color="auto" w:fill="EAEAEA"/>
          </w:tcPr>
          <w:p>
            <w:pPr>
              <w:spacing w:after="0"/>
              <w:rPr>
                <w:sz w:val="15"/>
                <w:szCs w:val="15"/>
                <w:color w:val="auto"/>
              </w:rPr>
            </w:pPr>
          </w:p>
        </w:tc>
      </w:tr>
      <w:tr>
        <w:trPr>
          <w:trHeight w:val="246"/>
        </w:trPr>
        <w:tc>
          <w:tcPr>
            <w:tcW w:w="2560" w:type="dxa"/>
            <w:vAlign w:val="bottom"/>
            <w:gridSpan w:val="5"/>
            <w:shd w:val="clear" w:color="auto" w:fill="EAEAEA"/>
          </w:tcPr>
          <w:p>
            <w:pPr>
              <w:ind w:left="100"/>
              <w:spacing w:after="0"/>
              <w:rPr>
                <w:sz w:val="20"/>
                <w:szCs w:val="20"/>
                <w:color w:val="auto"/>
              </w:rPr>
            </w:pPr>
            <w:r>
              <w:rPr>
                <w:rFonts w:ascii="Times New Roman" w:cs="Times New Roman" w:eastAsia="Times New Roman" w:hAnsi="Times New Roman"/>
                <w:sz w:val="18"/>
                <w:szCs w:val="18"/>
                <w:color w:val="auto"/>
              </w:rPr>
              <w:t>and assets under TRA</w:t>
            </w:r>
          </w:p>
        </w:tc>
        <w:tc>
          <w:tcPr>
            <w:tcW w:w="720" w:type="dxa"/>
            <w:vAlign w:val="bottom"/>
            <w:shd w:val="clear" w:color="auto" w:fill="EAEAEA"/>
          </w:tcPr>
          <w:p>
            <w:pPr>
              <w:spacing w:after="0"/>
              <w:rPr>
                <w:sz w:val="21"/>
                <w:szCs w:val="21"/>
                <w:color w:val="auto"/>
              </w:rPr>
            </w:pPr>
          </w:p>
        </w:tc>
        <w:tc>
          <w:tcPr>
            <w:tcW w:w="40" w:type="dxa"/>
            <w:vAlign w:val="bottom"/>
            <w:tcBorders>
              <w:right w:val="single" w:sz="8" w:color="EAEAEA"/>
            </w:tcBorders>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56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c>
          <w:tcPr>
            <w:tcW w:w="180" w:type="dxa"/>
            <w:vAlign w:val="bottom"/>
            <w:shd w:val="clear" w:color="auto" w:fill="EAEAEA"/>
          </w:tcPr>
          <w:p>
            <w:pPr>
              <w:spacing w:after="0"/>
              <w:rPr>
                <w:sz w:val="21"/>
                <w:szCs w:val="21"/>
                <w:color w:val="auto"/>
              </w:rPr>
            </w:pPr>
          </w:p>
        </w:tc>
        <w:tc>
          <w:tcPr>
            <w:tcW w:w="720" w:type="dxa"/>
            <w:vAlign w:val="bottom"/>
            <w:shd w:val="clear" w:color="auto" w:fill="EAEAEA"/>
          </w:tcPr>
          <w:p>
            <w:pPr>
              <w:spacing w:after="0"/>
              <w:rPr>
                <w:sz w:val="21"/>
                <w:szCs w:val="21"/>
                <w:color w:val="auto"/>
              </w:rPr>
            </w:pPr>
          </w:p>
        </w:tc>
        <w:tc>
          <w:tcPr>
            <w:tcW w:w="40" w:type="dxa"/>
            <w:vAlign w:val="bottom"/>
            <w:tcBorders>
              <w:right w:val="single" w:sz="8" w:color="EAEAEA"/>
            </w:tcBorders>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520" w:type="dxa"/>
            <w:vAlign w:val="bottom"/>
            <w:shd w:val="clear" w:color="auto" w:fill="EAEAEA"/>
          </w:tcPr>
          <w:p>
            <w:pPr>
              <w:spacing w:after="0"/>
              <w:rPr>
                <w:sz w:val="21"/>
                <w:szCs w:val="21"/>
                <w:color w:val="auto"/>
              </w:rPr>
            </w:pPr>
          </w:p>
        </w:tc>
        <w:tc>
          <w:tcPr>
            <w:tcW w:w="240" w:type="dxa"/>
            <w:vAlign w:val="bottom"/>
            <w:shd w:val="clear" w:color="auto" w:fill="EAEAEA"/>
          </w:tcPr>
          <w:p>
            <w:pPr>
              <w:spacing w:after="0"/>
              <w:rPr>
                <w:sz w:val="21"/>
                <w:szCs w:val="21"/>
                <w:color w:val="auto"/>
              </w:rPr>
            </w:pPr>
          </w:p>
        </w:tc>
        <w:tc>
          <w:tcPr>
            <w:tcW w:w="180" w:type="dxa"/>
            <w:vAlign w:val="bottom"/>
            <w:shd w:val="clear" w:color="auto" w:fill="EAEAEA"/>
          </w:tcPr>
          <w:p>
            <w:pPr>
              <w:spacing w:after="0"/>
              <w:rPr>
                <w:sz w:val="21"/>
                <w:szCs w:val="21"/>
                <w:color w:val="auto"/>
              </w:rPr>
            </w:pPr>
          </w:p>
        </w:tc>
        <w:tc>
          <w:tcPr>
            <w:tcW w:w="740" w:type="dxa"/>
            <w:vAlign w:val="bottom"/>
            <w:shd w:val="clear" w:color="auto" w:fill="EAEAEA"/>
          </w:tcPr>
          <w:p>
            <w:pPr>
              <w:spacing w:after="0"/>
              <w:rPr>
                <w:sz w:val="21"/>
                <w:szCs w:val="21"/>
                <w:color w:val="auto"/>
              </w:rPr>
            </w:pPr>
          </w:p>
        </w:tc>
        <w:tc>
          <w:tcPr>
            <w:tcW w:w="180" w:type="dxa"/>
            <w:vAlign w:val="bottom"/>
            <w:shd w:val="clear" w:color="auto" w:fill="EAEAEA"/>
          </w:tcPr>
          <w:p>
            <w:pPr>
              <w:spacing w:after="0"/>
              <w:rPr>
                <w:sz w:val="21"/>
                <w:szCs w:val="21"/>
                <w:color w:val="auto"/>
              </w:rPr>
            </w:pPr>
          </w:p>
        </w:tc>
        <w:tc>
          <w:tcPr>
            <w:tcW w:w="300" w:type="dxa"/>
            <w:vAlign w:val="bottom"/>
            <w:shd w:val="clear" w:color="auto" w:fill="EAEAEA"/>
          </w:tcPr>
          <w:p>
            <w:pPr>
              <w:spacing w:after="0"/>
              <w:rPr>
                <w:sz w:val="21"/>
                <w:szCs w:val="21"/>
                <w:color w:val="auto"/>
              </w:rPr>
            </w:pPr>
          </w:p>
        </w:tc>
        <w:tc>
          <w:tcPr>
            <w:tcW w:w="44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240" w:type="dxa"/>
            <w:vAlign w:val="bottom"/>
            <w:shd w:val="clear" w:color="auto" w:fill="EAEAEA"/>
          </w:tcPr>
          <w:p>
            <w:pPr>
              <w:spacing w:after="0"/>
              <w:rPr>
                <w:sz w:val="21"/>
                <w:szCs w:val="21"/>
                <w:color w:val="auto"/>
              </w:rPr>
            </w:pPr>
          </w:p>
        </w:tc>
        <w:tc>
          <w:tcPr>
            <w:tcW w:w="6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660" w:type="dxa"/>
            <w:vAlign w:val="bottom"/>
            <w:shd w:val="clear" w:color="auto" w:fill="EAEAEA"/>
          </w:tcPr>
          <w:p>
            <w:pPr>
              <w:spacing w:after="0"/>
              <w:rPr>
                <w:sz w:val="21"/>
                <w:szCs w:val="21"/>
                <w:color w:val="auto"/>
              </w:rPr>
            </w:pPr>
          </w:p>
        </w:tc>
        <w:tc>
          <w:tcPr>
            <w:tcW w:w="6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58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62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6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EAEAEA"/>
          </w:tcPr>
          <w:p>
            <w:pPr>
              <w:spacing w:after="0"/>
              <w:rPr>
                <w:sz w:val="21"/>
                <w:szCs w:val="21"/>
                <w:color w:val="auto"/>
              </w:rPr>
            </w:pPr>
          </w:p>
        </w:tc>
      </w:tr>
      <w:tr>
        <w:trPr>
          <w:trHeight w:val="182"/>
        </w:trPr>
        <w:tc>
          <w:tcPr>
            <w:tcW w:w="2560" w:type="dxa"/>
            <w:vAlign w:val="bottom"/>
            <w:gridSpan w:val="5"/>
          </w:tcPr>
          <w:p>
            <w:pPr>
              <w:ind w:left="100"/>
              <w:spacing w:after="0" w:line="182" w:lineRule="exact"/>
              <w:rPr>
                <w:sz w:val="20"/>
                <w:szCs w:val="20"/>
                <w:color w:val="auto"/>
              </w:rPr>
            </w:pPr>
            <w:r>
              <w:rPr>
                <w:rFonts w:ascii="Times New Roman" w:cs="Times New Roman" w:eastAsia="Times New Roman" w:hAnsi="Times New Roman"/>
                <w:sz w:val="18"/>
                <w:szCs w:val="18"/>
                <w:color w:val="auto"/>
              </w:rPr>
              <w:t>Shares issued upon RSU</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3"/>
        </w:trPr>
        <w:tc>
          <w:tcPr>
            <w:tcW w:w="25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vesting</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95,181</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185"/>
        </w:trPr>
        <w:tc>
          <w:tcPr>
            <w:tcW w:w="2560" w:type="dxa"/>
            <w:vAlign w:val="bottom"/>
            <w:gridSpan w:val="5"/>
            <w:shd w:val="clear" w:color="auto" w:fill="EAEAEA"/>
          </w:tcPr>
          <w:p>
            <w:pPr>
              <w:ind w:left="100"/>
              <w:spacing w:after="0" w:line="185" w:lineRule="exact"/>
              <w:rPr>
                <w:sz w:val="20"/>
                <w:szCs w:val="20"/>
                <w:color w:val="auto"/>
              </w:rPr>
            </w:pPr>
            <w:r>
              <w:rPr>
                <w:rFonts w:ascii="Times New Roman" w:cs="Times New Roman" w:eastAsia="Times New Roman" w:hAnsi="Times New Roman"/>
                <w:sz w:val="18"/>
                <w:szCs w:val="18"/>
                <w:color w:val="auto"/>
              </w:rPr>
              <w:t>Exchange of non-controlling</w:t>
            </w:r>
          </w:p>
        </w:tc>
        <w:tc>
          <w:tcPr>
            <w:tcW w:w="720" w:type="dxa"/>
            <w:vAlign w:val="bottom"/>
            <w:shd w:val="clear" w:color="auto" w:fill="EAEAEA"/>
          </w:tcPr>
          <w:p>
            <w:pPr>
              <w:spacing w:after="0"/>
              <w:rPr>
                <w:sz w:val="16"/>
                <w:szCs w:val="16"/>
                <w:color w:val="auto"/>
              </w:rPr>
            </w:pPr>
          </w:p>
        </w:tc>
        <w:tc>
          <w:tcPr>
            <w:tcW w:w="40" w:type="dxa"/>
            <w:vAlign w:val="bottom"/>
            <w:tcBorders>
              <w:right w:val="single" w:sz="8" w:color="EAEAEA"/>
            </w:tcBorders>
            <w:shd w:val="clear" w:color="auto" w:fill="EAEAEA"/>
          </w:tcPr>
          <w:p>
            <w:pPr>
              <w:spacing w:after="0"/>
              <w:rPr>
                <w:sz w:val="16"/>
                <w:szCs w:val="16"/>
                <w:color w:val="auto"/>
              </w:rPr>
            </w:pPr>
          </w:p>
        </w:tc>
        <w:tc>
          <w:tcPr>
            <w:tcW w:w="140" w:type="dxa"/>
            <w:vAlign w:val="bottom"/>
            <w:shd w:val="clear" w:color="auto" w:fill="EAEAEA"/>
          </w:tcPr>
          <w:p>
            <w:pPr>
              <w:spacing w:after="0"/>
              <w:rPr>
                <w:sz w:val="16"/>
                <w:szCs w:val="16"/>
                <w:color w:val="auto"/>
              </w:rPr>
            </w:pPr>
          </w:p>
        </w:tc>
        <w:tc>
          <w:tcPr>
            <w:tcW w:w="560" w:type="dxa"/>
            <w:vAlign w:val="bottom"/>
            <w:shd w:val="clear" w:color="auto" w:fill="EAEAEA"/>
          </w:tcPr>
          <w:p>
            <w:pPr>
              <w:spacing w:after="0"/>
              <w:rPr>
                <w:sz w:val="16"/>
                <w:szCs w:val="16"/>
                <w:color w:val="auto"/>
              </w:rPr>
            </w:pPr>
          </w:p>
        </w:tc>
        <w:tc>
          <w:tcPr>
            <w:tcW w:w="200" w:type="dxa"/>
            <w:vAlign w:val="bottom"/>
            <w:shd w:val="clear" w:color="auto" w:fill="EAEAEA"/>
          </w:tcPr>
          <w:p>
            <w:pPr>
              <w:spacing w:after="0"/>
              <w:rPr>
                <w:sz w:val="16"/>
                <w:szCs w:val="16"/>
                <w:color w:val="auto"/>
              </w:rPr>
            </w:pPr>
          </w:p>
        </w:tc>
        <w:tc>
          <w:tcPr>
            <w:tcW w:w="180" w:type="dxa"/>
            <w:vAlign w:val="bottom"/>
            <w:shd w:val="clear" w:color="auto" w:fill="EAEAEA"/>
          </w:tcPr>
          <w:p>
            <w:pPr>
              <w:spacing w:after="0"/>
              <w:rPr>
                <w:sz w:val="16"/>
                <w:szCs w:val="16"/>
                <w:color w:val="auto"/>
              </w:rPr>
            </w:pPr>
          </w:p>
        </w:tc>
        <w:tc>
          <w:tcPr>
            <w:tcW w:w="720" w:type="dxa"/>
            <w:vAlign w:val="bottom"/>
            <w:shd w:val="clear" w:color="auto" w:fill="EAEAEA"/>
          </w:tcPr>
          <w:p>
            <w:pPr>
              <w:spacing w:after="0"/>
              <w:rPr>
                <w:sz w:val="16"/>
                <w:szCs w:val="16"/>
                <w:color w:val="auto"/>
              </w:rPr>
            </w:pPr>
          </w:p>
        </w:tc>
        <w:tc>
          <w:tcPr>
            <w:tcW w:w="40" w:type="dxa"/>
            <w:vAlign w:val="bottom"/>
            <w:tcBorders>
              <w:right w:val="single" w:sz="8" w:color="EAEAEA"/>
            </w:tcBorders>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520" w:type="dxa"/>
            <w:vAlign w:val="bottom"/>
            <w:shd w:val="clear" w:color="auto" w:fill="EAEAEA"/>
          </w:tcPr>
          <w:p>
            <w:pPr>
              <w:spacing w:after="0"/>
              <w:rPr>
                <w:sz w:val="16"/>
                <w:szCs w:val="16"/>
                <w:color w:val="auto"/>
              </w:rPr>
            </w:pPr>
          </w:p>
        </w:tc>
        <w:tc>
          <w:tcPr>
            <w:tcW w:w="240" w:type="dxa"/>
            <w:vAlign w:val="bottom"/>
            <w:shd w:val="clear" w:color="auto" w:fill="EAEAEA"/>
          </w:tcPr>
          <w:p>
            <w:pPr>
              <w:spacing w:after="0"/>
              <w:rPr>
                <w:sz w:val="16"/>
                <w:szCs w:val="16"/>
                <w:color w:val="auto"/>
              </w:rPr>
            </w:pPr>
          </w:p>
        </w:tc>
        <w:tc>
          <w:tcPr>
            <w:tcW w:w="180" w:type="dxa"/>
            <w:vAlign w:val="bottom"/>
            <w:shd w:val="clear" w:color="auto" w:fill="EAEAEA"/>
          </w:tcPr>
          <w:p>
            <w:pPr>
              <w:spacing w:after="0"/>
              <w:rPr>
                <w:sz w:val="16"/>
                <w:szCs w:val="16"/>
                <w:color w:val="auto"/>
              </w:rPr>
            </w:pPr>
          </w:p>
        </w:tc>
        <w:tc>
          <w:tcPr>
            <w:tcW w:w="740" w:type="dxa"/>
            <w:vAlign w:val="bottom"/>
            <w:shd w:val="clear" w:color="auto" w:fill="EAEAEA"/>
          </w:tcPr>
          <w:p>
            <w:pPr>
              <w:spacing w:after="0"/>
              <w:rPr>
                <w:sz w:val="16"/>
                <w:szCs w:val="16"/>
                <w:color w:val="auto"/>
              </w:rPr>
            </w:pPr>
          </w:p>
        </w:tc>
        <w:tc>
          <w:tcPr>
            <w:tcW w:w="180" w:type="dxa"/>
            <w:vAlign w:val="bottom"/>
            <w:shd w:val="clear" w:color="auto" w:fill="EAEAEA"/>
          </w:tcPr>
          <w:p>
            <w:pPr>
              <w:spacing w:after="0"/>
              <w:rPr>
                <w:sz w:val="16"/>
                <w:szCs w:val="16"/>
                <w:color w:val="auto"/>
              </w:rPr>
            </w:pPr>
          </w:p>
        </w:tc>
        <w:tc>
          <w:tcPr>
            <w:tcW w:w="300" w:type="dxa"/>
            <w:vAlign w:val="bottom"/>
            <w:shd w:val="clear" w:color="auto" w:fill="EAEAEA"/>
          </w:tcPr>
          <w:p>
            <w:pPr>
              <w:spacing w:after="0"/>
              <w:rPr>
                <w:sz w:val="16"/>
                <w:szCs w:val="16"/>
                <w:color w:val="auto"/>
              </w:rPr>
            </w:pPr>
          </w:p>
        </w:tc>
        <w:tc>
          <w:tcPr>
            <w:tcW w:w="44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240" w:type="dxa"/>
            <w:vAlign w:val="bottom"/>
            <w:shd w:val="clear" w:color="auto" w:fill="EAEAEA"/>
          </w:tcPr>
          <w:p>
            <w:pPr>
              <w:spacing w:after="0"/>
              <w:rPr>
                <w:sz w:val="16"/>
                <w:szCs w:val="16"/>
                <w:color w:val="auto"/>
              </w:rPr>
            </w:pPr>
          </w:p>
        </w:tc>
        <w:tc>
          <w:tcPr>
            <w:tcW w:w="640" w:type="dxa"/>
            <w:vAlign w:val="bottom"/>
            <w:shd w:val="clear" w:color="auto" w:fill="EAEAEA"/>
          </w:tcPr>
          <w:p>
            <w:pPr>
              <w:spacing w:after="0"/>
              <w:rPr>
                <w:sz w:val="16"/>
                <w:szCs w:val="16"/>
                <w:color w:val="auto"/>
              </w:rPr>
            </w:pPr>
          </w:p>
        </w:tc>
        <w:tc>
          <w:tcPr>
            <w:tcW w:w="14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660" w:type="dxa"/>
            <w:vAlign w:val="bottom"/>
            <w:shd w:val="clear" w:color="auto" w:fill="EAEAEA"/>
          </w:tcPr>
          <w:p>
            <w:pPr>
              <w:spacing w:after="0"/>
              <w:rPr>
                <w:sz w:val="16"/>
                <w:szCs w:val="16"/>
                <w:color w:val="auto"/>
              </w:rPr>
            </w:pPr>
          </w:p>
        </w:tc>
        <w:tc>
          <w:tcPr>
            <w:tcW w:w="6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60" w:type="dxa"/>
            <w:vAlign w:val="bottom"/>
            <w:shd w:val="clear" w:color="auto" w:fill="EAEAEA"/>
          </w:tcPr>
          <w:p>
            <w:pPr>
              <w:spacing w:after="0"/>
              <w:rPr>
                <w:sz w:val="16"/>
                <w:szCs w:val="16"/>
                <w:color w:val="auto"/>
              </w:rPr>
            </w:pPr>
          </w:p>
        </w:tc>
        <w:tc>
          <w:tcPr>
            <w:tcW w:w="58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62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64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r>
      <w:tr>
        <w:trPr>
          <w:trHeight w:val="207"/>
        </w:trPr>
        <w:tc>
          <w:tcPr>
            <w:tcW w:w="2560" w:type="dxa"/>
            <w:vAlign w:val="bottom"/>
            <w:gridSpan w:val="5"/>
            <w:shd w:val="clear" w:color="auto" w:fill="EAEAEA"/>
          </w:tcPr>
          <w:p>
            <w:pPr>
              <w:ind w:left="100"/>
              <w:spacing w:after="0"/>
              <w:rPr>
                <w:sz w:val="20"/>
                <w:szCs w:val="20"/>
                <w:color w:val="auto"/>
              </w:rPr>
            </w:pPr>
            <w:r>
              <w:rPr>
                <w:rFonts w:ascii="Times New Roman" w:cs="Times New Roman" w:eastAsia="Times New Roman" w:hAnsi="Times New Roman"/>
                <w:sz w:val="18"/>
                <w:szCs w:val="18"/>
                <w:color w:val="auto"/>
              </w:rPr>
              <w:t>interest for Class A common</w:t>
            </w:r>
          </w:p>
        </w:tc>
        <w:tc>
          <w:tcPr>
            <w:tcW w:w="720" w:type="dxa"/>
            <w:vAlign w:val="bottom"/>
            <w:shd w:val="clear" w:color="auto" w:fill="EAEAEA"/>
          </w:tcPr>
          <w:p>
            <w:pPr>
              <w:spacing w:after="0"/>
              <w:rPr>
                <w:sz w:val="17"/>
                <w:szCs w:val="17"/>
                <w:color w:val="auto"/>
              </w:rPr>
            </w:pPr>
          </w:p>
        </w:tc>
        <w:tc>
          <w:tcPr>
            <w:tcW w:w="40" w:type="dxa"/>
            <w:vAlign w:val="bottom"/>
            <w:tcBorders>
              <w:right w:val="single" w:sz="8" w:color="EAEAEA"/>
            </w:tcBorders>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56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720" w:type="dxa"/>
            <w:vAlign w:val="bottom"/>
            <w:shd w:val="clear" w:color="auto" w:fill="EAEAEA"/>
          </w:tcPr>
          <w:p>
            <w:pPr>
              <w:spacing w:after="0"/>
              <w:rPr>
                <w:sz w:val="17"/>
                <w:szCs w:val="17"/>
                <w:color w:val="auto"/>
              </w:rPr>
            </w:pPr>
          </w:p>
        </w:tc>
        <w:tc>
          <w:tcPr>
            <w:tcW w:w="40" w:type="dxa"/>
            <w:vAlign w:val="bottom"/>
            <w:tcBorders>
              <w:right w:val="single" w:sz="8" w:color="EAEAEA"/>
            </w:tcBorders>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520" w:type="dxa"/>
            <w:vAlign w:val="bottom"/>
            <w:shd w:val="clear" w:color="auto" w:fill="EAEAEA"/>
          </w:tcPr>
          <w:p>
            <w:pPr>
              <w:spacing w:after="0"/>
              <w:rPr>
                <w:sz w:val="17"/>
                <w:szCs w:val="17"/>
                <w:color w:val="auto"/>
              </w:rPr>
            </w:pPr>
          </w:p>
        </w:tc>
        <w:tc>
          <w:tcPr>
            <w:tcW w:w="240" w:type="dxa"/>
            <w:vAlign w:val="bottom"/>
            <w:shd w:val="clear" w:color="auto" w:fill="EAEAEA"/>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740" w:type="dxa"/>
            <w:vAlign w:val="bottom"/>
            <w:shd w:val="clear" w:color="auto" w:fill="EAEAEA"/>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300" w:type="dxa"/>
            <w:vAlign w:val="bottom"/>
            <w:shd w:val="clear" w:color="auto" w:fill="EAEAEA"/>
          </w:tcPr>
          <w:p>
            <w:pPr>
              <w:spacing w:after="0"/>
              <w:rPr>
                <w:sz w:val="17"/>
                <w:szCs w:val="17"/>
                <w:color w:val="auto"/>
              </w:rPr>
            </w:pPr>
          </w:p>
        </w:tc>
        <w:tc>
          <w:tcPr>
            <w:tcW w:w="44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240" w:type="dxa"/>
            <w:vAlign w:val="bottom"/>
            <w:shd w:val="clear" w:color="auto" w:fill="EAEAEA"/>
          </w:tcPr>
          <w:p>
            <w:pPr>
              <w:spacing w:after="0"/>
              <w:rPr>
                <w:sz w:val="17"/>
                <w:szCs w:val="17"/>
                <w:color w:val="auto"/>
              </w:rPr>
            </w:pPr>
          </w:p>
        </w:tc>
        <w:tc>
          <w:tcPr>
            <w:tcW w:w="64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66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60" w:type="dxa"/>
            <w:vAlign w:val="bottom"/>
            <w:shd w:val="clear" w:color="auto" w:fill="EAEAEA"/>
          </w:tcPr>
          <w:p>
            <w:pPr>
              <w:spacing w:after="0"/>
              <w:rPr>
                <w:sz w:val="17"/>
                <w:szCs w:val="17"/>
                <w:color w:val="auto"/>
              </w:rPr>
            </w:pPr>
          </w:p>
        </w:tc>
        <w:tc>
          <w:tcPr>
            <w:tcW w:w="58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62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64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r>
      <w:tr>
        <w:trPr>
          <w:trHeight w:val="246"/>
        </w:trPr>
        <w:tc>
          <w:tcPr>
            <w:tcW w:w="2560" w:type="dxa"/>
            <w:vAlign w:val="bottom"/>
            <w:gridSpan w:val="5"/>
            <w:shd w:val="clear" w:color="auto" w:fill="EAEAEA"/>
          </w:tcPr>
          <w:p>
            <w:pPr>
              <w:ind w:left="100"/>
              <w:spacing w:after="0"/>
              <w:rPr>
                <w:sz w:val="20"/>
                <w:szCs w:val="20"/>
                <w:color w:val="auto"/>
              </w:rPr>
            </w:pPr>
            <w:r>
              <w:rPr>
                <w:rFonts w:ascii="Times New Roman" w:cs="Times New Roman" w:eastAsia="Times New Roman" w:hAnsi="Times New Roman"/>
                <w:sz w:val="18"/>
                <w:szCs w:val="18"/>
                <w:color w:val="auto"/>
              </w:rPr>
              <w:t>stock</w:t>
            </w:r>
          </w:p>
        </w:tc>
        <w:tc>
          <w:tcPr>
            <w:tcW w:w="7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205,193</w:t>
            </w:r>
          </w:p>
        </w:tc>
        <w:tc>
          <w:tcPr>
            <w:tcW w:w="40" w:type="dxa"/>
            <w:vAlign w:val="bottom"/>
            <w:tcBorders>
              <w:right w:val="single" w:sz="8" w:color="EAEAEA"/>
            </w:tcBorders>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56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c>
          <w:tcPr>
            <w:tcW w:w="1040" w:type="dxa"/>
            <w:vAlign w:val="bottom"/>
            <w:gridSpan w:val="4"/>
            <w:shd w:val="clear" w:color="auto" w:fill="EAEAEA"/>
          </w:tcPr>
          <w:p>
            <w:pPr>
              <w:jc w:val="right"/>
              <w:ind w:right="80"/>
              <w:spacing w:after="0"/>
              <w:rPr>
                <w:sz w:val="20"/>
                <w:szCs w:val="20"/>
                <w:color w:val="auto"/>
              </w:rPr>
            </w:pPr>
            <w:r>
              <w:rPr>
                <w:rFonts w:ascii="Times New Roman" w:cs="Times New Roman" w:eastAsia="Times New Roman" w:hAnsi="Times New Roman"/>
                <w:sz w:val="18"/>
                <w:szCs w:val="18"/>
                <w:color w:val="auto"/>
              </w:rPr>
              <w:t>(205,193)</w:t>
            </w:r>
          </w:p>
        </w:tc>
        <w:tc>
          <w:tcPr>
            <w:tcW w:w="120" w:type="dxa"/>
            <w:vAlign w:val="bottom"/>
            <w:shd w:val="clear" w:color="auto" w:fill="EAEAEA"/>
          </w:tcPr>
          <w:p>
            <w:pPr>
              <w:spacing w:after="0"/>
              <w:rPr>
                <w:sz w:val="21"/>
                <w:szCs w:val="21"/>
                <w:color w:val="auto"/>
              </w:rPr>
            </w:pPr>
          </w:p>
        </w:tc>
        <w:tc>
          <w:tcPr>
            <w:tcW w:w="520" w:type="dxa"/>
            <w:vAlign w:val="bottom"/>
            <w:shd w:val="clear" w:color="auto" w:fill="EAEAEA"/>
          </w:tcPr>
          <w:p>
            <w:pPr>
              <w:spacing w:after="0"/>
              <w:rPr>
                <w:sz w:val="21"/>
                <w:szCs w:val="21"/>
                <w:color w:val="auto"/>
              </w:rPr>
            </w:pPr>
          </w:p>
        </w:tc>
        <w:tc>
          <w:tcPr>
            <w:tcW w:w="240" w:type="dxa"/>
            <w:vAlign w:val="bottom"/>
            <w:shd w:val="clear" w:color="auto" w:fill="EAEAEA"/>
          </w:tcPr>
          <w:p>
            <w:pPr>
              <w:spacing w:after="0"/>
              <w:rPr>
                <w:sz w:val="21"/>
                <w:szCs w:val="21"/>
                <w:color w:val="auto"/>
              </w:rPr>
            </w:pPr>
          </w:p>
        </w:tc>
        <w:tc>
          <w:tcPr>
            <w:tcW w:w="180" w:type="dxa"/>
            <w:vAlign w:val="bottom"/>
            <w:shd w:val="clear" w:color="auto" w:fill="EAEAEA"/>
          </w:tcPr>
          <w:p>
            <w:pPr>
              <w:spacing w:after="0"/>
              <w:rPr>
                <w:sz w:val="21"/>
                <w:szCs w:val="21"/>
                <w:color w:val="auto"/>
              </w:rPr>
            </w:pPr>
          </w:p>
        </w:tc>
        <w:tc>
          <w:tcPr>
            <w:tcW w:w="740" w:type="dxa"/>
            <w:vAlign w:val="bottom"/>
            <w:shd w:val="clear" w:color="auto" w:fill="EAEAEA"/>
          </w:tcPr>
          <w:p>
            <w:pPr>
              <w:spacing w:after="0"/>
              <w:rPr>
                <w:sz w:val="21"/>
                <w:szCs w:val="21"/>
                <w:color w:val="auto"/>
              </w:rPr>
            </w:pPr>
          </w:p>
        </w:tc>
        <w:tc>
          <w:tcPr>
            <w:tcW w:w="180" w:type="dxa"/>
            <w:vAlign w:val="bottom"/>
            <w:shd w:val="clear" w:color="auto" w:fill="EAEAEA"/>
          </w:tcPr>
          <w:p>
            <w:pPr>
              <w:spacing w:after="0"/>
              <w:rPr>
                <w:sz w:val="21"/>
                <w:szCs w:val="21"/>
                <w:color w:val="auto"/>
              </w:rPr>
            </w:pPr>
          </w:p>
        </w:tc>
        <w:tc>
          <w:tcPr>
            <w:tcW w:w="300" w:type="dxa"/>
            <w:vAlign w:val="bottom"/>
            <w:shd w:val="clear" w:color="auto" w:fill="EAEAEA"/>
          </w:tcPr>
          <w:p>
            <w:pPr>
              <w:spacing w:after="0"/>
              <w:rPr>
                <w:sz w:val="21"/>
                <w:szCs w:val="21"/>
                <w:color w:val="auto"/>
              </w:rPr>
            </w:pPr>
          </w:p>
        </w:tc>
        <w:tc>
          <w:tcPr>
            <w:tcW w:w="44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240" w:type="dxa"/>
            <w:vAlign w:val="bottom"/>
            <w:shd w:val="clear" w:color="auto" w:fill="EAEAEA"/>
          </w:tcPr>
          <w:p>
            <w:pPr>
              <w:spacing w:after="0"/>
              <w:rPr>
                <w:sz w:val="21"/>
                <w:szCs w:val="21"/>
                <w:color w:val="auto"/>
              </w:rPr>
            </w:pPr>
          </w:p>
        </w:tc>
        <w:tc>
          <w:tcPr>
            <w:tcW w:w="6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660" w:type="dxa"/>
            <w:vAlign w:val="bottom"/>
            <w:shd w:val="clear" w:color="auto" w:fill="EAEAEA"/>
          </w:tcPr>
          <w:p>
            <w:pPr>
              <w:spacing w:after="0"/>
              <w:rPr>
                <w:sz w:val="21"/>
                <w:szCs w:val="21"/>
                <w:color w:val="auto"/>
              </w:rPr>
            </w:pPr>
          </w:p>
        </w:tc>
        <w:tc>
          <w:tcPr>
            <w:tcW w:w="6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700" w:type="dxa"/>
            <w:vAlign w:val="bottom"/>
            <w:gridSpan w:val="2"/>
            <w:shd w:val="clear" w:color="auto" w:fill="EAEAEA"/>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740" w:type="dxa"/>
            <w:vAlign w:val="bottom"/>
            <w:gridSpan w:val="2"/>
            <w:shd w:val="clear" w:color="auto" w:fill="EAEAEA"/>
          </w:tcPr>
          <w:p>
            <w:pPr>
              <w:jc w:val="right"/>
              <w:ind w:right="60"/>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6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AEAEA"/>
          </w:tcPr>
          <w:p>
            <w:pPr>
              <w:spacing w:after="0"/>
              <w:rPr>
                <w:sz w:val="21"/>
                <w:szCs w:val="21"/>
                <w:color w:val="auto"/>
              </w:rPr>
            </w:pPr>
          </w:p>
        </w:tc>
      </w:tr>
      <w:tr>
        <w:trPr>
          <w:trHeight w:val="182"/>
        </w:trPr>
        <w:tc>
          <w:tcPr>
            <w:tcW w:w="2560" w:type="dxa"/>
            <w:vAlign w:val="bottom"/>
            <w:gridSpan w:val="5"/>
          </w:tcPr>
          <w:p>
            <w:pPr>
              <w:ind w:left="100"/>
              <w:spacing w:after="0" w:line="182" w:lineRule="exact"/>
              <w:rPr>
                <w:sz w:val="20"/>
                <w:szCs w:val="20"/>
                <w:color w:val="auto"/>
              </w:rPr>
            </w:pPr>
            <w:r>
              <w:rPr>
                <w:rFonts w:ascii="Times New Roman" w:cs="Times New Roman" w:eastAsia="Times New Roman" w:hAnsi="Times New Roman"/>
                <w:sz w:val="18"/>
                <w:szCs w:val="18"/>
                <w:color w:val="auto"/>
              </w:rPr>
              <w:t>Dividends paid $0.03 per share</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3"/>
        </w:trPr>
        <w:tc>
          <w:tcPr>
            <w:tcW w:w="25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of Class A common stock</w:t>
            </w: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w:t>
            </w:r>
          </w:p>
        </w:tc>
      </w:tr>
      <w:tr>
        <w:trPr>
          <w:trHeight w:val="185"/>
        </w:trPr>
        <w:tc>
          <w:tcPr>
            <w:tcW w:w="2560" w:type="dxa"/>
            <w:vAlign w:val="bottom"/>
            <w:gridSpan w:val="5"/>
            <w:shd w:val="clear" w:color="auto" w:fill="EAEAEA"/>
          </w:tcPr>
          <w:p>
            <w:pPr>
              <w:ind w:left="100"/>
              <w:spacing w:after="0" w:line="185" w:lineRule="exact"/>
              <w:rPr>
                <w:sz w:val="20"/>
                <w:szCs w:val="20"/>
                <w:color w:val="auto"/>
              </w:rPr>
            </w:pPr>
            <w:r>
              <w:rPr>
                <w:rFonts w:ascii="Times New Roman" w:cs="Times New Roman" w:eastAsia="Times New Roman" w:hAnsi="Times New Roman"/>
                <w:sz w:val="18"/>
                <w:szCs w:val="18"/>
                <w:color w:val="auto"/>
              </w:rPr>
              <w:t>Distributions paid to Non-</w:t>
            </w:r>
          </w:p>
        </w:tc>
        <w:tc>
          <w:tcPr>
            <w:tcW w:w="720" w:type="dxa"/>
            <w:vAlign w:val="bottom"/>
            <w:shd w:val="clear" w:color="auto" w:fill="EAEAEA"/>
          </w:tcPr>
          <w:p>
            <w:pPr>
              <w:spacing w:after="0"/>
              <w:rPr>
                <w:sz w:val="16"/>
                <w:szCs w:val="16"/>
                <w:color w:val="auto"/>
              </w:rPr>
            </w:pPr>
          </w:p>
        </w:tc>
        <w:tc>
          <w:tcPr>
            <w:tcW w:w="40" w:type="dxa"/>
            <w:vAlign w:val="bottom"/>
            <w:tcBorders>
              <w:right w:val="single" w:sz="8" w:color="EAEAEA"/>
            </w:tcBorders>
            <w:shd w:val="clear" w:color="auto" w:fill="EAEAEA"/>
          </w:tcPr>
          <w:p>
            <w:pPr>
              <w:spacing w:after="0"/>
              <w:rPr>
                <w:sz w:val="16"/>
                <w:szCs w:val="16"/>
                <w:color w:val="auto"/>
              </w:rPr>
            </w:pPr>
          </w:p>
        </w:tc>
        <w:tc>
          <w:tcPr>
            <w:tcW w:w="140" w:type="dxa"/>
            <w:vAlign w:val="bottom"/>
            <w:shd w:val="clear" w:color="auto" w:fill="EAEAEA"/>
          </w:tcPr>
          <w:p>
            <w:pPr>
              <w:spacing w:after="0"/>
              <w:rPr>
                <w:sz w:val="16"/>
                <w:szCs w:val="16"/>
                <w:color w:val="auto"/>
              </w:rPr>
            </w:pPr>
          </w:p>
        </w:tc>
        <w:tc>
          <w:tcPr>
            <w:tcW w:w="560" w:type="dxa"/>
            <w:vAlign w:val="bottom"/>
            <w:shd w:val="clear" w:color="auto" w:fill="EAEAEA"/>
          </w:tcPr>
          <w:p>
            <w:pPr>
              <w:spacing w:after="0"/>
              <w:rPr>
                <w:sz w:val="16"/>
                <w:szCs w:val="16"/>
                <w:color w:val="auto"/>
              </w:rPr>
            </w:pPr>
          </w:p>
        </w:tc>
        <w:tc>
          <w:tcPr>
            <w:tcW w:w="200" w:type="dxa"/>
            <w:vAlign w:val="bottom"/>
            <w:shd w:val="clear" w:color="auto" w:fill="EAEAEA"/>
          </w:tcPr>
          <w:p>
            <w:pPr>
              <w:spacing w:after="0"/>
              <w:rPr>
                <w:sz w:val="16"/>
                <w:szCs w:val="16"/>
                <w:color w:val="auto"/>
              </w:rPr>
            </w:pPr>
          </w:p>
        </w:tc>
        <w:tc>
          <w:tcPr>
            <w:tcW w:w="180" w:type="dxa"/>
            <w:vAlign w:val="bottom"/>
            <w:shd w:val="clear" w:color="auto" w:fill="EAEAEA"/>
          </w:tcPr>
          <w:p>
            <w:pPr>
              <w:spacing w:after="0"/>
              <w:rPr>
                <w:sz w:val="16"/>
                <w:szCs w:val="16"/>
                <w:color w:val="auto"/>
              </w:rPr>
            </w:pPr>
          </w:p>
        </w:tc>
        <w:tc>
          <w:tcPr>
            <w:tcW w:w="720" w:type="dxa"/>
            <w:vAlign w:val="bottom"/>
            <w:shd w:val="clear" w:color="auto" w:fill="EAEAEA"/>
          </w:tcPr>
          <w:p>
            <w:pPr>
              <w:spacing w:after="0"/>
              <w:rPr>
                <w:sz w:val="16"/>
                <w:szCs w:val="16"/>
                <w:color w:val="auto"/>
              </w:rPr>
            </w:pPr>
          </w:p>
        </w:tc>
        <w:tc>
          <w:tcPr>
            <w:tcW w:w="40" w:type="dxa"/>
            <w:vAlign w:val="bottom"/>
            <w:tcBorders>
              <w:right w:val="single" w:sz="8" w:color="EAEAEA"/>
            </w:tcBorders>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520" w:type="dxa"/>
            <w:vAlign w:val="bottom"/>
            <w:shd w:val="clear" w:color="auto" w:fill="EAEAEA"/>
          </w:tcPr>
          <w:p>
            <w:pPr>
              <w:spacing w:after="0"/>
              <w:rPr>
                <w:sz w:val="16"/>
                <w:szCs w:val="16"/>
                <w:color w:val="auto"/>
              </w:rPr>
            </w:pPr>
          </w:p>
        </w:tc>
        <w:tc>
          <w:tcPr>
            <w:tcW w:w="240" w:type="dxa"/>
            <w:vAlign w:val="bottom"/>
            <w:shd w:val="clear" w:color="auto" w:fill="EAEAEA"/>
          </w:tcPr>
          <w:p>
            <w:pPr>
              <w:spacing w:after="0"/>
              <w:rPr>
                <w:sz w:val="16"/>
                <w:szCs w:val="16"/>
                <w:color w:val="auto"/>
              </w:rPr>
            </w:pPr>
          </w:p>
        </w:tc>
        <w:tc>
          <w:tcPr>
            <w:tcW w:w="180" w:type="dxa"/>
            <w:vAlign w:val="bottom"/>
            <w:shd w:val="clear" w:color="auto" w:fill="EAEAEA"/>
          </w:tcPr>
          <w:p>
            <w:pPr>
              <w:spacing w:after="0"/>
              <w:rPr>
                <w:sz w:val="16"/>
                <w:szCs w:val="16"/>
                <w:color w:val="auto"/>
              </w:rPr>
            </w:pPr>
          </w:p>
        </w:tc>
        <w:tc>
          <w:tcPr>
            <w:tcW w:w="740" w:type="dxa"/>
            <w:vAlign w:val="bottom"/>
            <w:shd w:val="clear" w:color="auto" w:fill="EAEAEA"/>
          </w:tcPr>
          <w:p>
            <w:pPr>
              <w:spacing w:after="0"/>
              <w:rPr>
                <w:sz w:val="16"/>
                <w:szCs w:val="16"/>
                <w:color w:val="auto"/>
              </w:rPr>
            </w:pPr>
          </w:p>
        </w:tc>
        <w:tc>
          <w:tcPr>
            <w:tcW w:w="180" w:type="dxa"/>
            <w:vAlign w:val="bottom"/>
            <w:shd w:val="clear" w:color="auto" w:fill="EAEAEA"/>
          </w:tcPr>
          <w:p>
            <w:pPr>
              <w:spacing w:after="0"/>
              <w:rPr>
                <w:sz w:val="16"/>
                <w:szCs w:val="16"/>
                <w:color w:val="auto"/>
              </w:rPr>
            </w:pPr>
          </w:p>
        </w:tc>
        <w:tc>
          <w:tcPr>
            <w:tcW w:w="300" w:type="dxa"/>
            <w:vAlign w:val="bottom"/>
            <w:shd w:val="clear" w:color="auto" w:fill="EAEAEA"/>
          </w:tcPr>
          <w:p>
            <w:pPr>
              <w:spacing w:after="0"/>
              <w:rPr>
                <w:sz w:val="16"/>
                <w:szCs w:val="16"/>
                <w:color w:val="auto"/>
              </w:rPr>
            </w:pPr>
          </w:p>
        </w:tc>
        <w:tc>
          <w:tcPr>
            <w:tcW w:w="44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240" w:type="dxa"/>
            <w:vAlign w:val="bottom"/>
            <w:shd w:val="clear" w:color="auto" w:fill="EAEAEA"/>
          </w:tcPr>
          <w:p>
            <w:pPr>
              <w:spacing w:after="0"/>
              <w:rPr>
                <w:sz w:val="16"/>
                <w:szCs w:val="16"/>
                <w:color w:val="auto"/>
              </w:rPr>
            </w:pPr>
          </w:p>
        </w:tc>
        <w:tc>
          <w:tcPr>
            <w:tcW w:w="640" w:type="dxa"/>
            <w:vAlign w:val="bottom"/>
            <w:shd w:val="clear" w:color="auto" w:fill="EAEAEA"/>
          </w:tcPr>
          <w:p>
            <w:pPr>
              <w:spacing w:after="0"/>
              <w:rPr>
                <w:sz w:val="16"/>
                <w:szCs w:val="16"/>
                <w:color w:val="auto"/>
              </w:rPr>
            </w:pPr>
          </w:p>
        </w:tc>
        <w:tc>
          <w:tcPr>
            <w:tcW w:w="14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660" w:type="dxa"/>
            <w:vAlign w:val="bottom"/>
            <w:shd w:val="clear" w:color="auto" w:fill="EAEAEA"/>
          </w:tcPr>
          <w:p>
            <w:pPr>
              <w:spacing w:after="0"/>
              <w:rPr>
                <w:sz w:val="16"/>
                <w:szCs w:val="16"/>
                <w:color w:val="auto"/>
              </w:rPr>
            </w:pPr>
          </w:p>
        </w:tc>
        <w:tc>
          <w:tcPr>
            <w:tcW w:w="6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60" w:type="dxa"/>
            <w:vAlign w:val="bottom"/>
            <w:shd w:val="clear" w:color="auto" w:fill="EAEAEA"/>
          </w:tcPr>
          <w:p>
            <w:pPr>
              <w:spacing w:after="0"/>
              <w:rPr>
                <w:sz w:val="16"/>
                <w:szCs w:val="16"/>
                <w:color w:val="auto"/>
              </w:rPr>
            </w:pPr>
          </w:p>
        </w:tc>
        <w:tc>
          <w:tcPr>
            <w:tcW w:w="58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62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64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r>
      <w:tr>
        <w:trPr>
          <w:trHeight w:val="207"/>
        </w:trPr>
        <w:tc>
          <w:tcPr>
            <w:tcW w:w="2560" w:type="dxa"/>
            <w:vAlign w:val="bottom"/>
            <w:gridSpan w:val="5"/>
            <w:shd w:val="clear" w:color="auto" w:fill="EAEAEA"/>
          </w:tcPr>
          <w:p>
            <w:pPr>
              <w:ind w:left="100"/>
              <w:spacing w:after="0"/>
              <w:rPr>
                <w:sz w:val="20"/>
                <w:szCs w:val="20"/>
                <w:color w:val="auto"/>
              </w:rPr>
            </w:pPr>
            <w:r>
              <w:rPr>
                <w:rFonts w:ascii="Times New Roman" w:cs="Times New Roman" w:eastAsia="Times New Roman" w:hAnsi="Times New Roman"/>
                <w:sz w:val="18"/>
                <w:szCs w:val="18"/>
                <w:color w:val="auto"/>
              </w:rPr>
              <w:t>controlling interest - $0.03 per</w:t>
            </w:r>
          </w:p>
        </w:tc>
        <w:tc>
          <w:tcPr>
            <w:tcW w:w="720" w:type="dxa"/>
            <w:vAlign w:val="bottom"/>
            <w:shd w:val="clear" w:color="auto" w:fill="EAEAEA"/>
          </w:tcPr>
          <w:p>
            <w:pPr>
              <w:spacing w:after="0"/>
              <w:rPr>
                <w:sz w:val="17"/>
                <w:szCs w:val="17"/>
                <w:color w:val="auto"/>
              </w:rPr>
            </w:pPr>
          </w:p>
        </w:tc>
        <w:tc>
          <w:tcPr>
            <w:tcW w:w="40" w:type="dxa"/>
            <w:vAlign w:val="bottom"/>
            <w:tcBorders>
              <w:right w:val="single" w:sz="8" w:color="EAEAEA"/>
            </w:tcBorders>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56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720" w:type="dxa"/>
            <w:vAlign w:val="bottom"/>
            <w:shd w:val="clear" w:color="auto" w:fill="EAEAEA"/>
          </w:tcPr>
          <w:p>
            <w:pPr>
              <w:spacing w:after="0"/>
              <w:rPr>
                <w:sz w:val="17"/>
                <w:szCs w:val="17"/>
                <w:color w:val="auto"/>
              </w:rPr>
            </w:pPr>
          </w:p>
        </w:tc>
        <w:tc>
          <w:tcPr>
            <w:tcW w:w="40" w:type="dxa"/>
            <w:vAlign w:val="bottom"/>
            <w:tcBorders>
              <w:right w:val="single" w:sz="8" w:color="EAEAEA"/>
            </w:tcBorders>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520" w:type="dxa"/>
            <w:vAlign w:val="bottom"/>
            <w:shd w:val="clear" w:color="auto" w:fill="EAEAEA"/>
          </w:tcPr>
          <w:p>
            <w:pPr>
              <w:spacing w:after="0"/>
              <w:rPr>
                <w:sz w:val="17"/>
                <w:szCs w:val="17"/>
                <w:color w:val="auto"/>
              </w:rPr>
            </w:pPr>
          </w:p>
        </w:tc>
        <w:tc>
          <w:tcPr>
            <w:tcW w:w="240" w:type="dxa"/>
            <w:vAlign w:val="bottom"/>
            <w:shd w:val="clear" w:color="auto" w:fill="EAEAEA"/>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740" w:type="dxa"/>
            <w:vAlign w:val="bottom"/>
            <w:shd w:val="clear" w:color="auto" w:fill="EAEAEA"/>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300" w:type="dxa"/>
            <w:vAlign w:val="bottom"/>
            <w:shd w:val="clear" w:color="auto" w:fill="EAEAEA"/>
          </w:tcPr>
          <w:p>
            <w:pPr>
              <w:spacing w:after="0"/>
              <w:rPr>
                <w:sz w:val="17"/>
                <w:szCs w:val="17"/>
                <w:color w:val="auto"/>
              </w:rPr>
            </w:pPr>
          </w:p>
        </w:tc>
        <w:tc>
          <w:tcPr>
            <w:tcW w:w="44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240" w:type="dxa"/>
            <w:vAlign w:val="bottom"/>
            <w:shd w:val="clear" w:color="auto" w:fill="EAEAEA"/>
          </w:tcPr>
          <w:p>
            <w:pPr>
              <w:spacing w:after="0"/>
              <w:rPr>
                <w:sz w:val="17"/>
                <w:szCs w:val="17"/>
                <w:color w:val="auto"/>
              </w:rPr>
            </w:pPr>
          </w:p>
        </w:tc>
        <w:tc>
          <w:tcPr>
            <w:tcW w:w="64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66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60" w:type="dxa"/>
            <w:vAlign w:val="bottom"/>
            <w:shd w:val="clear" w:color="auto" w:fill="EAEAEA"/>
          </w:tcPr>
          <w:p>
            <w:pPr>
              <w:spacing w:after="0"/>
              <w:rPr>
                <w:sz w:val="17"/>
                <w:szCs w:val="17"/>
                <w:color w:val="auto"/>
              </w:rPr>
            </w:pPr>
          </w:p>
        </w:tc>
        <w:tc>
          <w:tcPr>
            <w:tcW w:w="58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62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64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r>
      <w:tr>
        <w:trPr>
          <w:trHeight w:val="246"/>
        </w:trPr>
        <w:tc>
          <w:tcPr>
            <w:tcW w:w="2560" w:type="dxa"/>
            <w:vAlign w:val="bottom"/>
            <w:gridSpan w:val="5"/>
            <w:shd w:val="clear" w:color="auto" w:fill="EAEAEA"/>
          </w:tcPr>
          <w:p>
            <w:pPr>
              <w:ind w:left="100"/>
              <w:spacing w:after="0"/>
              <w:rPr>
                <w:sz w:val="20"/>
                <w:szCs w:val="20"/>
                <w:color w:val="auto"/>
              </w:rPr>
            </w:pPr>
            <w:r>
              <w:rPr>
                <w:rFonts w:ascii="Times New Roman" w:cs="Times New Roman" w:eastAsia="Times New Roman" w:hAnsi="Times New Roman"/>
                <w:sz w:val="18"/>
                <w:szCs w:val="18"/>
                <w:color w:val="auto"/>
              </w:rPr>
              <w:t>share</w:t>
            </w:r>
          </w:p>
        </w:tc>
        <w:tc>
          <w:tcPr>
            <w:tcW w:w="720" w:type="dxa"/>
            <w:vAlign w:val="bottom"/>
            <w:shd w:val="clear" w:color="auto" w:fill="EAEAEA"/>
          </w:tcPr>
          <w:p>
            <w:pPr>
              <w:spacing w:after="0"/>
              <w:rPr>
                <w:sz w:val="21"/>
                <w:szCs w:val="21"/>
                <w:color w:val="auto"/>
              </w:rPr>
            </w:pPr>
          </w:p>
        </w:tc>
        <w:tc>
          <w:tcPr>
            <w:tcW w:w="40" w:type="dxa"/>
            <w:vAlign w:val="bottom"/>
            <w:tcBorders>
              <w:right w:val="single" w:sz="8" w:color="EAEAEA"/>
            </w:tcBorders>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56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c>
          <w:tcPr>
            <w:tcW w:w="180" w:type="dxa"/>
            <w:vAlign w:val="bottom"/>
            <w:shd w:val="clear" w:color="auto" w:fill="EAEAEA"/>
          </w:tcPr>
          <w:p>
            <w:pPr>
              <w:spacing w:after="0"/>
              <w:rPr>
                <w:sz w:val="21"/>
                <w:szCs w:val="21"/>
                <w:color w:val="auto"/>
              </w:rPr>
            </w:pPr>
          </w:p>
        </w:tc>
        <w:tc>
          <w:tcPr>
            <w:tcW w:w="720" w:type="dxa"/>
            <w:vAlign w:val="bottom"/>
            <w:shd w:val="clear" w:color="auto" w:fill="EAEAEA"/>
          </w:tcPr>
          <w:p>
            <w:pPr>
              <w:spacing w:after="0"/>
              <w:rPr>
                <w:sz w:val="21"/>
                <w:szCs w:val="21"/>
                <w:color w:val="auto"/>
              </w:rPr>
            </w:pPr>
          </w:p>
        </w:tc>
        <w:tc>
          <w:tcPr>
            <w:tcW w:w="40" w:type="dxa"/>
            <w:vAlign w:val="bottom"/>
            <w:tcBorders>
              <w:right w:val="single" w:sz="8" w:color="EAEAEA"/>
            </w:tcBorders>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520" w:type="dxa"/>
            <w:vAlign w:val="bottom"/>
            <w:shd w:val="clear" w:color="auto" w:fill="EAEAEA"/>
          </w:tcPr>
          <w:p>
            <w:pPr>
              <w:spacing w:after="0"/>
              <w:rPr>
                <w:sz w:val="21"/>
                <w:szCs w:val="21"/>
                <w:color w:val="auto"/>
              </w:rPr>
            </w:pPr>
          </w:p>
        </w:tc>
        <w:tc>
          <w:tcPr>
            <w:tcW w:w="240" w:type="dxa"/>
            <w:vAlign w:val="bottom"/>
            <w:shd w:val="clear" w:color="auto" w:fill="EAEAEA"/>
          </w:tcPr>
          <w:p>
            <w:pPr>
              <w:spacing w:after="0"/>
              <w:rPr>
                <w:sz w:val="21"/>
                <w:szCs w:val="21"/>
                <w:color w:val="auto"/>
              </w:rPr>
            </w:pPr>
          </w:p>
        </w:tc>
        <w:tc>
          <w:tcPr>
            <w:tcW w:w="180" w:type="dxa"/>
            <w:vAlign w:val="bottom"/>
            <w:shd w:val="clear" w:color="auto" w:fill="EAEAEA"/>
          </w:tcPr>
          <w:p>
            <w:pPr>
              <w:spacing w:after="0"/>
              <w:rPr>
                <w:sz w:val="21"/>
                <w:szCs w:val="21"/>
                <w:color w:val="auto"/>
              </w:rPr>
            </w:pPr>
          </w:p>
        </w:tc>
        <w:tc>
          <w:tcPr>
            <w:tcW w:w="740" w:type="dxa"/>
            <w:vAlign w:val="bottom"/>
            <w:shd w:val="clear" w:color="auto" w:fill="EAEAEA"/>
          </w:tcPr>
          <w:p>
            <w:pPr>
              <w:spacing w:after="0"/>
              <w:rPr>
                <w:sz w:val="21"/>
                <w:szCs w:val="21"/>
                <w:color w:val="auto"/>
              </w:rPr>
            </w:pPr>
          </w:p>
        </w:tc>
        <w:tc>
          <w:tcPr>
            <w:tcW w:w="180" w:type="dxa"/>
            <w:vAlign w:val="bottom"/>
            <w:shd w:val="clear" w:color="auto" w:fill="EAEAEA"/>
          </w:tcPr>
          <w:p>
            <w:pPr>
              <w:spacing w:after="0"/>
              <w:rPr>
                <w:sz w:val="21"/>
                <w:szCs w:val="21"/>
                <w:color w:val="auto"/>
              </w:rPr>
            </w:pPr>
          </w:p>
        </w:tc>
        <w:tc>
          <w:tcPr>
            <w:tcW w:w="300" w:type="dxa"/>
            <w:vAlign w:val="bottom"/>
            <w:shd w:val="clear" w:color="auto" w:fill="EAEAEA"/>
          </w:tcPr>
          <w:p>
            <w:pPr>
              <w:spacing w:after="0"/>
              <w:rPr>
                <w:sz w:val="21"/>
                <w:szCs w:val="21"/>
                <w:color w:val="auto"/>
              </w:rPr>
            </w:pPr>
          </w:p>
        </w:tc>
        <w:tc>
          <w:tcPr>
            <w:tcW w:w="44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240" w:type="dxa"/>
            <w:vAlign w:val="bottom"/>
            <w:shd w:val="clear" w:color="auto" w:fill="EAEAEA"/>
          </w:tcPr>
          <w:p>
            <w:pPr>
              <w:spacing w:after="0"/>
              <w:rPr>
                <w:sz w:val="21"/>
                <w:szCs w:val="21"/>
                <w:color w:val="auto"/>
              </w:rPr>
            </w:pPr>
          </w:p>
        </w:tc>
        <w:tc>
          <w:tcPr>
            <w:tcW w:w="6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660" w:type="dxa"/>
            <w:vAlign w:val="bottom"/>
            <w:shd w:val="clear" w:color="auto" w:fill="EAEAEA"/>
          </w:tcPr>
          <w:p>
            <w:pPr>
              <w:spacing w:after="0"/>
              <w:rPr>
                <w:sz w:val="21"/>
                <w:szCs w:val="21"/>
                <w:color w:val="auto"/>
              </w:rPr>
            </w:pPr>
          </w:p>
        </w:tc>
        <w:tc>
          <w:tcPr>
            <w:tcW w:w="6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58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740" w:type="dxa"/>
            <w:vAlign w:val="bottom"/>
            <w:gridSpan w:val="2"/>
            <w:shd w:val="clear" w:color="auto" w:fill="EAEAEA"/>
          </w:tcPr>
          <w:p>
            <w:pPr>
              <w:jc w:val="right"/>
              <w:ind w:right="60"/>
              <w:spacing w:after="0"/>
              <w:rPr>
                <w:sz w:val="20"/>
                <w:szCs w:val="20"/>
                <w:color w:val="auto"/>
              </w:rPr>
            </w:pPr>
            <w:r>
              <w:rPr>
                <w:rFonts w:ascii="Times New Roman" w:cs="Times New Roman" w:eastAsia="Times New Roman" w:hAnsi="Times New Roman"/>
                <w:sz w:val="18"/>
                <w:szCs w:val="18"/>
                <w:color w:val="auto"/>
              </w:rPr>
              <w:t>(830)</w:t>
            </w:r>
          </w:p>
        </w:tc>
        <w:tc>
          <w:tcPr>
            <w:tcW w:w="12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72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18"/>
                <w:szCs w:val="18"/>
                <w:color w:val="auto"/>
              </w:rPr>
              <w:t>(830)</w:t>
            </w:r>
          </w:p>
        </w:tc>
      </w:tr>
      <w:tr>
        <w:trPr>
          <w:trHeight w:val="182"/>
        </w:trPr>
        <w:tc>
          <w:tcPr>
            <w:tcW w:w="2560" w:type="dxa"/>
            <w:vAlign w:val="bottom"/>
            <w:gridSpan w:val="5"/>
          </w:tcPr>
          <w:p>
            <w:pPr>
              <w:ind w:left="100"/>
              <w:spacing w:after="0" w:line="182"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3"/>
        </w:trPr>
        <w:tc>
          <w:tcPr>
            <w:tcW w:w="25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adjustment</w:t>
            </w: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r>
      <w:tr>
        <w:trPr>
          <w:trHeight w:val="185"/>
        </w:trPr>
        <w:tc>
          <w:tcPr>
            <w:tcW w:w="2560" w:type="dxa"/>
            <w:vAlign w:val="bottom"/>
            <w:gridSpan w:val="5"/>
            <w:shd w:val="clear" w:color="auto" w:fill="EAEAEA"/>
          </w:tcPr>
          <w:p>
            <w:pPr>
              <w:ind w:left="100"/>
              <w:spacing w:after="0" w:line="185" w:lineRule="exact"/>
              <w:rPr>
                <w:sz w:val="20"/>
                <w:szCs w:val="20"/>
                <w:color w:val="auto"/>
              </w:rPr>
            </w:pPr>
            <w:r>
              <w:rPr>
                <w:rFonts w:ascii="Times New Roman" w:cs="Times New Roman" w:eastAsia="Times New Roman" w:hAnsi="Times New Roman"/>
                <w:sz w:val="18"/>
                <w:szCs w:val="18"/>
                <w:color w:val="auto"/>
              </w:rPr>
              <w:t>Purchase of Class A common</w:t>
            </w:r>
          </w:p>
        </w:tc>
        <w:tc>
          <w:tcPr>
            <w:tcW w:w="720" w:type="dxa"/>
            <w:vAlign w:val="bottom"/>
            <w:shd w:val="clear" w:color="auto" w:fill="EAEAEA"/>
          </w:tcPr>
          <w:p>
            <w:pPr>
              <w:spacing w:after="0"/>
              <w:rPr>
                <w:sz w:val="16"/>
                <w:szCs w:val="16"/>
                <w:color w:val="auto"/>
              </w:rPr>
            </w:pPr>
          </w:p>
        </w:tc>
        <w:tc>
          <w:tcPr>
            <w:tcW w:w="40" w:type="dxa"/>
            <w:vAlign w:val="bottom"/>
            <w:tcBorders>
              <w:right w:val="single" w:sz="8" w:color="EAEAEA"/>
            </w:tcBorders>
            <w:shd w:val="clear" w:color="auto" w:fill="EAEAEA"/>
          </w:tcPr>
          <w:p>
            <w:pPr>
              <w:spacing w:after="0"/>
              <w:rPr>
                <w:sz w:val="16"/>
                <w:szCs w:val="16"/>
                <w:color w:val="auto"/>
              </w:rPr>
            </w:pPr>
          </w:p>
        </w:tc>
        <w:tc>
          <w:tcPr>
            <w:tcW w:w="140" w:type="dxa"/>
            <w:vAlign w:val="bottom"/>
            <w:shd w:val="clear" w:color="auto" w:fill="EAEAEA"/>
          </w:tcPr>
          <w:p>
            <w:pPr>
              <w:spacing w:after="0"/>
              <w:rPr>
                <w:sz w:val="16"/>
                <w:szCs w:val="16"/>
                <w:color w:val="auto"/>
              </w:rPr>
            </w:pPr>
          </w:p>
        </w:tc>
        <w:tc>
          <w:tcPr>
            <w:tcW w:w="560" w:type="dxa"/>
            <w:vAlign w:val="bottom"/>
            <w:shd w:val="clear" w:color="auto" w:fill="EAEAEA"/>
          </w:tcPr>
          <w:p>
            <w:pPr>
              <w:spacing w:after="0"/>
              <w:rPr>
                <w:sz w:val="16"/>
                <w:szCs w:val="16"/>
                <w:color w:val="auto"/>
              </w:rPr>
            </w:pPr>
          </w:p>
        </w:tc>
        <w:tc>
          <w:tcPr>
            <w:tcW w:w="200" w:type="dxa"/>
            <w:vAlign w:val="bottom"/>
            <w:shd w:val="clear" w:color="auto" w:fill="EAEAEA"/>
          </w:tcPr>
          <w:p>
            <w:pPr>
              <w:spacing w:after="0"/>
              <w:rPr>
                <w:sz w:val="16"/>
                <w:szCs w:val="16"/>
                <w:color w:val="auto"/>
              </w:rPr>
            </w:pPr>
          </w:p>
        </w:tc>
        <w:tc>
          <w:tcPr>
            <w:tcW w:w="180" w:type="dxa"/>
            <w:vAlign w:val="bottom"/>
            <w:shd w:val="clear" w:color="auto" w:fill="EAEAEA"/>
          </w:tcPr>
          <w:p>
            <w:pPr>
              <w:spacing w:after="0"/>
              <w:rPr>
                <w:sz w:val="16"/>
                <w:szCs w:val="16"/>
                <w:color w:val="auto"/>
              </w:rPr>
            </w:pPr>
          </w:p>
        </w:tc>
        <w:tc>
          <w:tcPr>
            <w:tcW w:w="720" w:type="dxa"/>
            <w:vAlign w:val="bottom"/>
            <w:shd w:val="clear" w:color="auto" w:fill="EAEAEA"/>
          </w:tcPr>
          <w:p>
            <w:pPr>
              <w:spacing w:after="0"/>
              <w:rPr>
                <w:sz w:val="16"/>
                <w:szCs w:val="16"/>
                <w:color w:val="auto"/>
              </w:rPr>
            </w:pPr>
          </w:p>
        </w:tc>
        <w:tc>
          <w:tcPr>
            <w:tcW w:w="40" w:type="dxa"/>
            <w:vAlign w:val="bottom"/>
            <w:tcBorders>
              <w:right w:val="single" w:sz="8" w:color="EAEAEA"/>
            </w:tcBorders>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520" w:type="dxa"/>
            <w:vAlign w:val="bottom"/>
            <w:shd w:val="clear" w:color="auto" w:fill="EAEAEA"/>
          </w:tcPr>
          <w:p>
            <w:pPr>
              <w:spacing w:after="0"/>
              <w:rPr>
                <w:sz w:val="16"/>
                <w:szCs w:val="16"/>
                <w:color w:val="auto"/>
              </w:rPr>
            </w:pPr>
          </w:p>
        </w:tc>
        <w:tc>
          <w:tcPr>
            <w:tcW w:w="240" w:type="dxa"/>
            <w:vAlign w:val="bottom"/>
            <w:shd w:val="clear" w:color="auto" w:fill="EAEAEA"/>
          </w:tcPr>
          <w:p>
            <w:pPr>
              <w:spacing w:after="0"/>
              <w:rPr>
                <w:sz w:val="16"/>
                <w:szCs w:val="16"/>
                <w:color w:val="auto"/>
              </w:rPr>
            </w:pPr>
          </w:p>
        </w:tc>
        <w:tc>
          <w:tcPr>
            <w:tcW w:w="180" w:type="dxa"/>
            <w:vAlign w:val="bottom"/>
            <w:shd w:val="clear" w:color="auto" w:fill="EAEAEA"/>
          </w:tcPr>
          <w:p>
            <w:pPr>
              <w:spacing w:after="0"/>
              <w:rPr>
                <w:sz w:val="16"/>
                <w:szCs w:val="16"/>
                <w:color w:val="auto"/>
              </w:rPr>
            </w:pPr>
          </w:p>
        </w:tc>
        <w:tc>
          <w:tcPr>
            <w:tcW w:w="740" w:type="dxa"/>
            <w:vAlign w:val="bottom"/>
            <w:shd w:val="clear" w:color="auto" w:fill="EAEAEA"/>
          </w:tcPr>
          <w:p>
            <w:pPr>
              <w:spacing w:after="0"/>
              <w:rPr>
                <w:sz w:val="16"/>
                <w:szCs w:val="16"/>
                <w:color w:val="auto"/>
              </w:rPr>
            </w:pPr>
          </w:p>
        </w:tc>
        <w:tc>
          <w:tcPr>
            <w:tcW w:w="180" w:type="dxa"/>
            <w:vAlign w:val="bottom"/>
            <w:shd w:val="clear" w:color="auto" w:fill="EAEAEA"/>
          </w:tcPr>
          <w:p>
            <w:pPr>
              <w:spacing w:after="0"/>
              <w:rPr>
                <w:sz w:val="16"/>
                <w:szCs w:val="16"/>
                <w:color w:val="auto"/>
              </w:rPr>
            </w:pPr>
          </w:p>
        </w:tc>
        <w:tc>
          <w:tcPr>
            <w:tcW w:w="300" w:type="dxa"/>
            <w:vAlign w:val="bottom"/>
            <w:shd w:val="clear" w:color="auto" w:fill="EAEAEA"/>
          </w:tcPr>
          <w:p>
            <w:pPr>
              <w:spacing w:after="0"/>
              <w:rPr>
                <w:sz w:val="16"/>
                <w:szCs w:val="16"/>
                <w:color w:val="auto"/>
              </w:rPr>
            </w:pPr>
          </w:p>
        </w:tc>
        <w:tc>
          <w:tcPr>
            <w:tcW w:w="44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240" w:type="dxa"/>
            <w:vAlign w:val="bottom"/>
            <w:shd w:val="clear" w:color="auto" w:fill="EAEAEA"/>
          </w:tcPr>
          <w:p>
            <w:pPr>
              <w:spacing w:after="0"/>
              <w:rPr>
                <w:sz w:val="16"/>
                <w:szCs w:val="16"/>
                <w:color w:val="auto"/>
              </w:rPr>
            </w:pPr>
          </w:p>
        </w:tc>
        <w:tc>
          <w:tcPr>
            <w:tcW w:w="640" w:type="dxa"/>
            <w:vAlign w:val="bottom"/>
            <w:shd w:val="clear" w:color="auto" w:fill="EAEAEA"/>
          </w:tcPr>
          <w:p>
            <w:pPr>
              <w:spacing w:after="0"/>
              <w:rPr>
                <w:sz w:val="16"/>
                <w:szCs w:val="16"/>
                <w:color w:val="auto"/>
              </w:rPr>
            </w:pPr>
          </w:p>
        </w:tc>
        <w:tc>
          <w:tcPr>
            <w:tcW w:w="14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660" w:type="dxa"/>
            <w:vAlign w:val="bottom"/>
            <w:shd w:val="clear" w:color="auto" w:fill="EAEAEA"/>
          </w:tcPr>
          <w:p>
            <w:pPr>
              <w:spacing w:after="0"/>
              <w:rPr>
                <w:sz w:val="16"/>
                <w:szCs w:val="16"/>
                <w:color w:val="auto"/>
              </w:rPr>
            </w:pPr>
          </w:p>
        </w:tc>
        <w:tc>
          <w:tcPr>
            <w:tcW w:w="6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60" w:type="dxa"/>
            <w:vAlign w:val="bottom"/>
            <w:shd w:val="clear" w:color="auto" w:fill="EAEAEA"/>
          </w:tcPr>
          <w:p>
            <w:pPr>
              <w:spacing w:after="0"/>
              <w:rPr>
                <w:sz w:val="16"/>
                <w:szCs w:val="16"/>
                <w:color w:val="auto"/>
              </w:rPr>
            </w:pPr>
          </w:p>
        </w:tc>
        <w:tc>
          <w:tcPr>
            <w:tcW w:w="58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62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64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r>
      <w:tr>
        <w:trPr>
          <w:trHeight w:val="207"/>
        </w:trPr>
        <w:tc>
          <w:tcPr>
            <w:tcW w:w="2560" w:type="dxa"/>
            <w:vAlign w:val="bottom"/>
            <w:gridSpan w:val="5"/>
            <w:shd w:val="clear" w:color="auto" w:fill="EAEAEA"/>
          </w:tcPr>
          <w:p>
            <w:pPr>
              <w:ind w:left="100"/>
              <w:spacing w:after="0"/>
              <w:rPr>
                <w:sz w:val="20"/>
                <w:szCs w:val="20"/>
                <w:color w:val="auto"/>
              </w:rPr>
            </w:pPr>
            <w:r>
              <w:rPr>
                <w:rFonts w:ascii="Times New Roman" w:cs="Times New Roman" w:eastAsia="Times New Roman" w:hAnsi="Times New Roman"/>
                <w:sz w:val="18"/>
                <w:szCs w:val="18"/>
                <w:color w:val="auto"/>
              </w:rPr>
              <w:t>stock under stock repurchase</w:t>
            </w:r>
          </w:p>
        </w:tc>
        <w:tc>
          <w:tcPr>
            <w:tcW w:w="720" w:type="dxa"/>
            <w:vAlign w:val="bottom"/>
            <w:shd w:val="clear" w:color="auto" w:fill="EAEAEA"/>
          </w:tcPr>
          <w:p>
            <w:pPr>
              <w:spacing w:after="0"/>
              <w:rPr>
                <w:sz w:val="17"/>
                <w:szCs w:val="17"/>
                <w:color w:val="auto"/>
              </w:rPr>
            </w:pPr>
          </w:p>
        </w:tc>
        <w:tc>
          <w:tcPr>
            <w:tcW w:w="40" w:type="dxa"/>
            <w:vAlign w:val="bottom"/>
            <w:tcBorders>
              <w:right w:val="single" w:sz="8" w:color="EAEAEA"/>
            </w:tcBorders>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56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720" w:type="dxa"/>
            <w:vAlign w:val="bottom"/>
            <w:shd w:val="clear" w:color="auto" w:fill="EAEAEA"/>
          </w:tcPr>
          <w:p>
            <w:pPr>
              <w:spacing w:after="0"/>
              <w:rPr>
                <w:sz w:val="17"/>
                <w:szCs w:val="17"/>
                <w:color w:val="auto"/>
              </w:rPr>
            </w:pPr>
          </w:p>
        </w:tc>
        <w:tc>
          <w:tcPr>
            <w:tcW w:w="40" w:type="dxa"/>
            <w:vAlign w:val="bottom"/>
            <w:tcBorders>
              <w:right w:val="single" w:sz="8" w:color="EAEAEA"/>
            </w:tcBorders>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520" w:type="dxa"/>
            <w:vAlign w:val="bottom"/>
            <w:shd w:val="clear" w:color="auto" w:fill="EAEAEA"/>
          </w:tcPr>
          <w:p>
            <w:pPr>
              <w:spacing w:after="0"/>
              <w:rPr>
                <w:sz w:val="17"/>
                <w:szCs w:val="17"/>
                <w:color w:val="auto"/>
              </w:rPr>
            </w:pPr>
          </w:p>
        </w:tc>
        <w:tc>
          <w:tcPr>
            <w:tcW w:w="240" w:type="dxa"/>
            <w:vAlign w:val="bottom"/>
            <w:shd w:val="clear" w:color="auto" w:fill="EAEAEA"/>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740" w:type="dxa"/>
            <w:vAlign w:val="bottom"/>
            <w:shd w:val="clear" w:color="auto" w:fill="EAEAEA"/>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300" w:type="dxa"/>
            <w:vAlign w:val="bottom"/>
            <w:shd w:val="clear" w:color="auto" w:fill="EAEAEA"/>
          </w:tcPr>
          <w:p>
            <w:pPr>
              <w:spacing w:after="0"/>
              <w:rPr>
                <w:sz w:val="17"/>
                <w:szCs w:val="17"/>
                <w:color w:val="auto"/>
              </w:rPr>
            </w:pPr>
          </w:p>
        </w:tc>
        <w:tc>
          <w:tcPr>
            <w:tcW w:w="44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240" w:type="dxa"/>
            <w:vAlign w:val="bottom"/>
            <w:shd w:val="clear" w:color="auto" w:fill="EAEAEA"/>
          </w:tcPr>
          <w:p>
            <w:pPr>
              <w:spacing w:after="0"/>
              <w:rPr>
                <w:sz w:val="17"/>
                <w:szCs w:val="17"/>
                <w:color w:val="auto"/>
              </w:rPr>
            </w:pPr>
          </w:p>
        </w:tc>
        <w:tc>
          <w:tcPr>
            <w:tcW w:w="64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66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60" w:type="dxa"/>
            <w:vAlign w:val="bottom"/>
            <w:shd w:val="clear" w:color="auto" w:fill="EAEAEA"/>
          </w:tcPr>
          <w:p>
            <w:pPr>
              <w:spacing w:after="0"/>
              <w:rPr>
                <w:sz w:val="17"/>
                <w:szCs w:val="17"/>
                <w:color w:val="auto"/>
              </w:rPr>
            </w:pPr>
          </w:p>
        </w:tc>
        <w:tc>
          <w:tcPr>
            <w:tcW w:w="58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62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64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r>
      <w:tr>
        <w:trPr>
          <w:trHeight w:val="263"/>
        </w:trPr>
        <w:tc>
          <w:tcPr>
            <w:tcW w:w="2560" w:type="dxa"/>
            <w:vAlign w:val="bottom"/>
            <w:gridSpan w:val="5"/>
            <w:shd w:val="clear" w:color="auto" w:fill="EAEAEA"/>
          </w:tcPr>
          <w:p>
            <w:pPr>
              <w:ind w:left="100"/>
              <w:spacing w:after="0"/>
              <w:rPr>
                <w:sz w:val="20"/>
                <w:szCs w:val="20"/>
                <w:color w:val="auto"/>
              </w:rPr>
            </w:pPr>
            <w:r>
              <w:rPr>
                <w:rFonts w:ascii="Times New Roman" w:cs="Times New Roman" w:eastAsia="Times New Roman" w:hAnsi="Times New Roman"/>
                <w:sz w:val="18"/>
                <w:szCs w:val="18"/>
                <w:color w:val="auto"/>
              </w:rPr>
              <w:t>plan</w:t>
            </w:r>
          </w:p>
        </w:tc>
        <w:tc>
          <w:tcPr>
            <w:tcW w:w="720" w:type="dxa"/>
            <w:vAlign w:val="bottom"/>
            <w:shd w:val="clear" w:color="auto" w:fill="EAEAEA"/>
          </w:tcPr>
          <w:p>
            <w:pPr>
              <w:spacing w:after="0"/>
              <w:rPr>
                <w:sz w:val="22"/>
                <w:szCs w:val="22"/>
                <w:color w:val="auto"/>
              </w:rPr>
            </w:pPr>
          </w:p>
        </w:tc>
        <w:tc>
          <w:tcPr>
            <w:tcW w:w="40" w:type="dxa"/>
            <w:vAlign w:val="bottom"/>
            <w:tcBorders>
              <w:right w:val="single" w:sz="8" w:color="EAEAEA"/>
            </w:tcBorders>
            <w:shd w:val="clear" w:color="auto" w:fill="EAEAEA"/>
          </w:tcPr>
          <w:p>
            <w:pPr>
              <w:spacing w:after="0"/>
              <w:rPr>
                <w:sz w:val="22"/>
                <w:szCs w:val="22"/>
                <w:color w:val="auto"/>
              </w:rPr>
            </w:pPr>
          </w:p>
        </w:tc>
        <w:tc>
          <w:tcPr>
            <w:tcW w:w="140" w:type="dxa"/>
            <w:vAlign w:val="bottom"/>
            <w:shd w:val="clear" w:color="auto" w:fill="EAEAEA"/>
          </w:tcPr>
          <w:p>
            <w:pPr>
              <w:spacing w:after="0"/>
              <w:rPr>
                <w:sz w:val="22"/>
                <w:szCs w:val="22"/>
                <w:color w:val="auto"/>
              </w:rPr>
            </w:pPr>
          </w:p>
        </w:tc>
        <w:tc>
          <w:tcPr>
            <w:tcW w:w="560" w:type="dxa"/>
            <w:vAlign w:val="bottom"/>
            <w:shd w:val="clear" w:color="auto" w:fill="EAEAEA"/>
          </w:tcPr>
          <w:p>
            <w:pPr>
              <w:spacing w:after="0"/>
              <w:rPr>
                <w:sz w:val="22"/>
                <w:szCs w:val="22"/>
                <w:color w:val="auto"/>
              </w:rPr>
            </w:pPr>
          </w:p>
        </w:tc>
        <w:tc>
          <w:tcPr>
            <w:tcW w:w="200" w:type="dxa"/>
            <w:vAlign w:val="bottom"/>
            <w:shd w:val="clear" w:color="auto" w:fill="EAEAEA"/>
          </w:tcPr>
          <w:p>
            <w:pPr>
              <w:spacing w:after="0"/>
              <w:rPr>
                <w:sz w:val="22"/>
                <w:szCs w:val="22"/>
                <w:color w:val="auto"/>
              </w:rPr>
            </w:pPr>
          </w:p>
        </w:tc>
        <w:tc>
          <w:tcPr>
            <w:tcW w:w="180" w:type="dxa"/>
            <w:vAlign w:val="bottom"/>
            <w:shd w:val="clear" w:color="auto" w:fill="EAEAEA"/>
          </w:tcPr>
          <w:p>
            <w:pPr>
              <w:spacing w:after="0"/>
              <w:rPr>
                <w:sz w:val="22"/>
                <w:szCs w:val="22"/>
                <w:color w:val="auto"/>
              </w:rPr>
            </w:pPr>
          </w:p>
        </w:tc>
        <w:tc>
          <w:tcPr>
            <w:tcW w:w="720" w:type="dxa"/>
            <w:vAlign w:val="bottom"/>
            <w:shd w:val="clear" w:color="auto" w:fill="EAEAEA"/>
          </w:tcPr>
          <w:p>
            <w:pPr>
              <w:spacing w:after="0"/>
              <w:rPr>
                <w:sz w:val="22"/>
                <w:szCs w:val="22"/>
                <w:color w:val="auto"/>
              </w:rPr>
            </w:pPr>
          </w:p>
        </w:tc>
        <w:tc>
          <w:tcPr>
            <w:tcW w:w="40" w:type="dxa"/>
            <w:vAlign w:val="bottom"/>
            <w:tcBorders>
              <w:right w:val="single" w:sz="8" w:color="EAEAEA"/>
            </w:tcBorders>
            <w:shd w:val="clear" w:color="auto" w:fill="EAEAEA"/>
          </w:tcPr>
          <w:p>
            <w:pPr>
              <w:spacing w:after="0"/>
              <w:rPr>
                <w:sz w:val="22"/>
                <w:szCs w:val="22"/>
                <w:color w:val="auto"/>
              </w:rPr>
            </w:pPr>
          </w:p>
        </w:tc>
        <w:tc>
          <w:tcPr>
            <w:tcW w:w="100" w:type="dxa"/>
            <w:vAlign w:val="bottom"/>
            <w:shd w:val="clear" w:color="auto" w:fill="EAEAEA"/>
          </w:tcPr>
          <w:p>
            <w:pPr>
              <w:spacing w:after="0"/>
              <w:rPr>
                <w:sz w:val="22"/>
                <w:szCs w:val="22"/>
                <w:color w:val="auto"/>
              </w:rPr>
            </w:pPr>
          </w:p>
        </w:tc>
        <w:tc>
          <w:tcPr>
            <w:tcW w:w="120" w:type="dxa"/>
            <w:vAlign w:val="bottom"/>
            <w:shd w:val="clear" w:color="auto" w:fill="EAEAEA"/>
          </w:tcPr>
          <w:p>
            <w:pPr>
              <w:spacing w:after="0"/>
              <w:rPr>
                <w:sz w:val="22"/>
                <w:szCs w:val="22"/>
                <w:color w:val="auto"/>
              </w:rPr>
            </w:pPr>
          </w:p>
        </w:tc>
        <w:tc>
          <w:tcPr>
            <w:tcW w:w="520" w:type="dxa"/>
            <w:vAlign w:val="bottom"/>
            <w:shd w:val="clear" w:color="auto" w:fill="EAEAEA"/>
          </w:tcPr>
          <w:p>
            <w:pPr>
              <w:spacing w:after="0"/>
              <w:rPr>
                <w:sz w:val="22"/>
                <w:szCs w:val="22"/>
                <w:color w:val="auto"/>
              </w:rPr>
            </w:pPr>
          </w:p>
        </w:tc>
        <w:tc>
          <w:tcPr>
            <w:tcW w:w="240" w:type="dxa"/>
            <w:vAlign w:val="bottom"/>
            <w:shd w:val="clear" w:color="auto" w:fill="EAEAEA"/>
          </w:tcPr>
          <w:p>
            <w:pPr>
              <w:spacing w:after="0"/>
              <w:rPr>
                <w:sz w:val="22"/>
                <w:szCs w:val="22"/>
                <w:color w:val="auto"/>
              </w:rPr>
            </w:pPr>
          </w:p>
        </w:tc>
        <w:tc>
          <w:tcPr>
            <w:tcW w:w="92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33,338</w:t>
            </w:r>
          </w:p>
        </w:tc>
        <w:tc>
          <w:tcPr>
            <w:tcW w:w="180" w:type="dxa"/>
            <w:vAlign w:val="bottom"/>
            <w:shd w:val="clear" w:color="auto" w:fill="EAEAEA"/>
          </w:tcPr>
          <w:p>
            <w:pPr>
              <w:spacing w:after="0"/>
              <w:rPr>
                <w:sz w:val="22"/>
                <w:szCs w:val="22"/>
                <w:color w:val="auto"/>
              </w:rPr>
            </w:pPr>
          </w:p>
        </w:tc>
        <w:tc>
          <w:tcPr>
            <w:tcW w:w="300" w:type="dxa"/>
            <w:vAlign w:val="bottom"/>
            <w:shd w:val="clear" w:color="auto" w:fill="EAEAEA"/>
          </w:tcPr>
          <w:p>
            <w:pPr>
              <w:spacing w:after="0"/>
              <w:rPr>
                <w:sz w:val="22"/>
                <w:szCs w:val="22"/>
                <w:color w:val="auto"/>
              </w:rPr>
            </w:pPr>
          </w:p>
        </w:tc>
        <w:tc>
          <w:tcPr>
            <w:tcW w:w="560" w:type="dxa"/>
            <w:vAlign w:val="bottom"/>
            <w:gridSpan w:val="2"/>
            <w:shd w:val="clear" w:color="auto" w:fill="EAEAEA"/>
          </w:tcPr>
          <w:p>
            <w:pPr>
              <w:jc w:val="right"/>
              <w:ind w:right="60"/>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shd w:val="clear" w:color="auto" w:fill="EAEAEA"/>
          </w:tcPr>
          <w:p>
            <w:pPr>
              <w:spacing w:after="0"/>
              <w:rPr>
                <w:sz w:val="22"/>
                <w:szCs w:val="22"/>
                <w:color w:val="auto"/>
              </w:rPr>
            </w:pPr>
          </w:p>
        </w:tc>
        <w:tc>
          <w:tcPr>
            <w:tcW w:w="6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AEAEA"/>
          </w:tcPr>
          <w:p>
            <w:pPr>
              <w:spacing w:after="0"/>
              <w:rPr>
                <w:sz w:val="22"/>
                <w:szCs w:val="22"/>
                <w:color w:val="auto"/>
              </w:rPr>
            </w:pPr>
          </w:p>
        </w:tc>
        <w:tc>
          <w:tcPr>
            <w:tcW w:w="120" w:type="dxa"/>
            <w:vAlign w:val="bottom"/>
            <w:shd w:val="clear" w:color="auto" w:fill="EAEAEA"/>
          </w:tcPr>
          <w:p>
            <w:pPr>
              <w:spacing w:after="0"/>
              <w:rPr>
                <w:sz w:val="22"/>
                <w:szCs w:val="22"/>
                <w:color w:val="auto"/>
              </w:rPr>
            </w:pPr>
          </w:p>
        </w:tc>
        <w:tc>
          <w:tcPr>
            <w:tcW w:w="100" w:type="dxa"/>
            <w:vAlign w:val="bottom"/>
            <w:shd w:val="clear" w:color="auto" w:fill="EAEAEA"/>
          </w:tcPr>
          <w:p>
            <w:pPr>
              <w:spacing w:after="0"/>
              <w:rPr>
                <w:sz w:val="22"/>
                <w:szCs w:val="22"/>
                <w:color w:val="auto"/>
              </w:rPr>
            </w:pPr>
          </w:p>
        </w:tc>
        <w:tc>
          <w:tcPr>
            <w:tcW w:w="660" w:type="dxa"/>
            <w:vAlign w:val="bottom"/>
            <w:shd w:val="clear" w:color="auto" w:fill="EAEAEA"/>
          </w:tcPr>
          <w:p>
            <w:pPr>
              <w:spacing w:after="0"/>
              <w:rPr>
                <w:sz w:val="22"/>
                <w:szCs w:val="22"/>
                <w:color w:val="auto"/>
              </w:rPr>
            </w:pPr>
          </w:p>
        </w:tc>
        <w:tc>
          <w:tcPr>
            <w:tcW w:w="60" w:type="dxa"/>
            <w:vAlign w:val="bottom"/>
            <w:shd w:val="clear" w:color="auto" w:fill="EAEAEA"/>
          </w:tcPr>
          <w:p>
            <w:pPr>
              <w:spacing w:after="0"/>
              <w:rPr>
                <w:sz w:val="22"/>
                <w:szCs w:val="22"/>
                <w:color w:val="auto"/>
              </w:rPr>
            </w:pPr>
          </w:p>
        </w:tc>
        <w:tc>
          <w:tcPr>
            <w:tcW w:w="120" w:type="dxa"/>
            <w:vAlign w:val="bottom"/>
            <w:shd w:val="clear" w:color="auto" w:fill="EAEAEA"/>
          </w:tcPr>
          <w:p>
            <w:pPr>
              <w:spacing w:after="0"/>
              <w:rPr>
                <w:sz w:val="22"/>
                <w:szCs w:val="22"/>
                <w:color w:val="auto"/>
              </w:rPr>
            </w:pPr>
          </w:p>
        </w:tc>
        <w:tc>
          <w:tcPr>
            <w:tcW w:w="160" w:type="dxa"/>
            <w:vAlign w:val="bottom"/>
            <w:shd w:val="clear" w:color="auto" w:fill="EAEAEA"/>
          </w:tcPr>
          <w:p>
            <w:pPr>
              <w:spacing w:after="0"/>
              <w:rPr>
                <w:sz w:val="22"/>
                <w:szCs w:val="22"/>
                <w:color w:val="auto"/>
              </w:rPr>
            </w:pPr>
          </w:p>
        </w:tc>
        <w:tc>
          <w:tcPr>
            <w:tcW w:w="580" w:type="dxa"/>
            <w:vAlign w:val="bottom"/>
            <w:shd w:val="clear" w:color="auto" w:fill="EAEAEA"/>
          </w:tcPr>
          <w:p>
            <w:pPr>
              <w:spacing w:after="0"/>
              <w:rPr>
                <w:sz w:val="22"/>
                <w:szCs w:val="22"/>
                <w:color w:val="auto"/>
              </w:rPr>
            </w:pPr>
          </w:p>
        </w:tc>
        <w:tc>
          <w:tcPr>
            <w:tcW w:w="120" w:type="dxa"/>
            <w:vAlign w:val="bottom"/>
            <w:shd w:val="clear" w:color="auto" w:fill="EAEAEA"/>
          </w:tcPr>
          <w:p>
            <w:pPr>
              <w:spacing w:after="0"/>
              <w:rPr>
                <w:sz w:val="22"/>
                <w:szCs w:val="22"/>
                <w:color w:val="auto"/>
              </w:rPr>
            </w:pPr>
          </w:p>
        </w:tc>
        <w:tc>
          <w:tcPr>
            <w:tcW w:w="120" w:type="dxa"/>
            <w:vAlign w:val="bottom"/>
            <w:shd w:val="clear" w:color="auto" w:fill="EAEAEA"/>
          </w:tcPr>
          <w:p>
            <w:pPr>
              <w:spacing w:after="0"/>
              <w:rPr>
                <w:sz w:val="22"/>
                <w:szCs w:val="22"/>
                <w:color w:val="auto"/>
              </w:rPr>
            </w:pPr>
          </w:p>
        </w:tc>
        <w:tc>
          <w:tcPr>
            <w:tcW w:w="120" w:type="dxa"/>
            <w:vAlign w:val="bottom"/>
            <w:shd w:val="clear" w:color="auto" w:fill="EAEAEA"/>
          </w:tcPr>
          <w:p>
            <w:pPr>
              <w:spacing w:after="0"/>
              <w:rPr>
                <w:sz w:val="22"/>
                <w:szCs w:val="22"/>
                <w:color w:val="auto"/>
              </w:rPr>
            </w:pPr>
          </w:p>
        </w:tc>
        <w:tc>
          <w:tcPr>
            <w:tcW w:w="620" w:type="dxa"/>
            <w:vAlign w:val="bottom"/>
            <w:shd w:val="clear" w:color="auto" w:fill="EAEAEA"/>
          </w:tcPr>
          <w:p>
            <w:pPr>
              <w:spacing w:after="0"/>
              <w:rPr>
                <w:sz w:val="22"/>
                <w:szCs w:val="22"/>
                <w:color w:val="auto"/>
              </w:rPr>
            </w:pPr>
          </w:p>
        </w:tc>
        <w:tc>
          <w:tcPr>
            <w:tcW w:w="120" w:type="dxa"/>
            <w:vAlign w:val="bottom"/>
            <w:shd w:val="clear" w:color="auto" w:fill="EAEAEA"/>
          </w:tcPr>
          <w:p>
            <w:pPr>
              <w:spacing w:after="0"/>
              <w:rPr>
                <w:sz w:val="22"/>
                <w:szCs w:val="22"/>
                <w:color w:val="auto"/>
              </w:rPr>
            </w:pPr>
          </w:p>
        </w:tc>
        <w:tc>
          <w:tcPr>
            <w:tcW w:w="120" w:type="dxa"/>
            <w:vAlign w:val="bottom"/>
            <w:shd w:val="clear" w:color="auto" w:fill="EAEAEA"/>
          </w:tcPr>
          <w:p>
            <w:pPr>
              <w:spacing w:after="0"/>
              <w:rPr>
                <w:sz w:val="22"/>
                <w:szCs w:val="22"/>
                <w:color w:val="auto"/>
              </w:rPr>
            </w:pPr>
          </w:p>
        </w:tc>
        <w:tc>
          <w:tcPr>
            <w:tcW w:w="100" w:type="dxa"/>
            <w:vAlign w:val="bottom"/>
            <w:shd w:val="clear" w:color="auto" w:fill="EAEAEA"/>
          </w:tcPr>
          <w:p>
            <w:pPr>
              <w:spacing w:after="0"/>
              <w:rPr>
                <w:sz w:val="22"/>
                <w:szCs w:val="22"/>
                <w:color w:val="auto"/>
              </w:rPr>
            </w:pPr>
          </w:p>
        </w:tc>
        <w:tc>
          <w:tcPr>
            <w:tcW w:w="72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r>
      <w:tr>
        <w:trPr>
          <w:trHeight w:val="160"/>
        </w:trPr>
        <w:tc>
          <w:tcPr>
            <w:tcW w:w="2400" w:type="dxa"/>
            <w:vAlign w:val="bottom"/>
            <w:tcBorders>
              <w:top w:val="single" w:sz="8" w:color="auto"/>
            </w:tcBorders>
          </w:tcPr>
          <w:p>
            <w:pPr>
              <w:spacing w:after="0" w:line="160" w:lineRule="exact"/>
              <w:rPr>
                <w:sz w:val="20"/>
                <w:szCs w:val="20"/>
                <w:color w:val="auto"/>
              </w:rPr>
            </w:pPr>
            <w:r>
              <w:rPr>
                <w:rFonts w:ascii="Times New Roman" w:cs="Times New Roman" w:eastAsia="Times New Roman" w:hAnsi="Times New Roman"/>
                <w:sz w:val="18"/>
                <w:szCs w:val="18"/>
                <w:color w:val="auto"/>
              </w:rPr>
              <w:t>Balance, December 31, 2025</w:t>
            </w:r>
          </w:p>
        </w:tc>
        <w:tc>
          <w:tcPr>
            <w:tcW w:w="40" w:type="dxa"/>
            <w:vAlign w:val="bottom"/>
            <w:tcBorders>
              <w:top w:val="single" w:sz="8" w:color="EAEAEA"/>
            </w:tcBorders>
          </w:tcPr>
          <w:p>
            <w:pPr>
              <w:spacing w:after="0"/>
              <w:rPr>
                <w:sz w:val="13"/>
                <w:szCs w:val="13"/>
                <w:color w:val="auto"/>
              </w:rPr>
            </w:pPr>
          </w:p>
        </w:tc>
        <w:tc>
          <w:tcPr>
            <w:tcW w:w="80" w:type="dxa"/>
            <w:vAlign w:val="bottom"/>
            <w:tcBorders>
              <w:top w:val="single" w:sz="8" w:color="EAEAEA"/>
            </w:tcBorders>
          </w:tcPr>
          <w:p>
            <w:pPr>
              <w:spacing w:after="0"/>
              <w:rPr>
                <w:sz w:val="13"/>
                <w:szCs w:val="13"/>
                <w:color w:val="auto"/>
              </w:rPr>
            </w:pPr>
          </w:p>
        </w:tc>
        <w:tc>
          <w:tcPr>
            <w:tcW w:w="40" w:type="dxa"/>
            <w:vAlign w:val="bottom"/>
            <w:tcBorders>
              <w:top w:val="single" w:sz="8" w:color="auto"/>
            </w:tcBorders>
            <w:gridSpan w:val="2"/>
          </w:tcPr>
          <w:p>
            <w:pPr>
              <w:spacing w:after="0"/>
              <w:rPr>
                <w:sz w:val="13"/>
                <w:szCs w:val="13"/>
                <w:color w:val="auto"/>
              </w:rPr>
            </w:pPr>
          </w:p>
        </w:tc>
        <w:tc>
          <w:tcPr>
            <w:tcW w:w="72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8"/>
                <w:szCs w:val="18"/>
                <w:color w:val="auto"/>
              </w:rPr>
              <w:t>5,265,56</w:t>
            </w:r>
          </w:p>
        </w:tc>
        <w:tc>
          <w:tcPr>
            <w:tcW w:w="40" w:type="dxa"/>
            <w:vAlign w:val="bottom"/>
            <w:tcBorders>
              <w:top w:val="single" w:sz="8" w:color="EAEAEA"/>
            </w:tcBorders>
          </w:tcPr>
          <w:p>
            <w:pPr>
              <w:spacing w:after="0"/>
              <w:rPr>
                <w:sz w:val="13"/>
                <w:szCs w:val="13"/>
                <w:color w:val="auto"/>
              </w:rPr>
            </w:pPr>
          </w:p>
        </w:tc>
        <w:tc>
          <w:tcPr>
            <w:tcW w:w="140" w:type="dxa"/>
            <w:vAlign w:val="bottom"/>
            <w:tcBorders>
              <w:top w:val="single" w:sz="8" w:color="EAEAEA"/>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EAEAEA"/>
            </w:tcBorders>
          </w:tcPr>
          <w:p>
            <w:pPr>
              <w:spacing w:after="0"/>
              <w:rPr>
                <w:sz w:val="13"/>
                <w:szCs w:val="13"/>
                <w:color w:val="auto"/>
              </w:rPr>
            </w:pPr>
          </w:p>
        </w:tc>
        <w:tc>
          <w:tcPr>
            <w:tcW w:w="72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8"/>
                <w:szCs w:val="18"/>
                <w:color w:val="auto"/>
              </w:rPr>
              <w:t>27,681,7</w:t>
            </w:r>
          </w:p>
        </w:tc>
        <w:tc>
          <w:tcPr>
            <w:tcW w:w="40" w:type="dxa"/>
            <w:vAlign w:val="bottom"/>
            <w:tcBorders>
              <w:top w:val="single" w:sz="8" w:color="EAEAEA"/>
            </w:tcBorders>
          </w:tcPr>
          <w:p>
            <w:pPr>
              <w:spacing w:after="0"/>
              <w:rPr>
                <w:sz w:val="13"/>
                <w:szCs w:val="13"/>
                <w:color w:val="auto"/>
              </w:rPr>
            </w:pPr>
          </w:p>
        </w:tc>
        <w:tc>
          <w:tcPr>
            <w:tcW w:w="100" w:type="dxa"/>
            <w:vAlign w:val="bottom"/>
            <w:tcBorders>
              <w:top w:val="single" w:sz="8" w:color="EAEAEA"/>
            </w:tcBorders>
          </w:tcPr>
          <w:p>
            <w:pPr>
              <w:spacing w:after="0"/>
              <w:rPr>
                <w:sz w:val="13"/>
                <w:szCs w:val="13"/>
                <w:color w:val="auto"/>
              </w:rPr>
            </w:pPr>
          </w:p>
        </w:tc>
        <w:tc>
          <w:tcPr>
            <w:tcW w:w="120" w:type="dxa"/>
            <w:vAlign w:val="bottom"/>
            <w:tcBorders>
              <w:top w:val="single" w:sz="8" w:color="EAEAEA"/>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EAEAEA"/>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Borders>
              <w:top w:val="single" w:sz="8" w:color="EAEAEA"/>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20" w:type="dxa"/>
            <w:vAlign w:val="bottom"/>
            <w:tcBorders>
              <w:top w:val="single" w:sz="8" w:color="EAEAEA"/>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Borders>
              <w:top w:val="single" w:sz="8" w:color="EAEAEA"/>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Borders>
              <w:top w:val="single" w:sz="8" w:color="EAEAEA"/>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EAEAEA"/>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Borders>
              <w:top w:val="single" w:sz="8" w:color="EAEAEA"/>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EAEAEA"/>
            </w:tcBorders>
          </w:tcPr>
          <w:p>
            <w:pPr>
              <w:spacing w:after="0"/>
              <w:rPr>
                <w:sz w:val="13"/>
                <w:szCs w:val="13"/>
                <w:color w:val="auto"/>
              </w:rPr>
            </w:pPr>
          </w:p>
        </w:tc>
      </w:tr>
      <w:tr>
        <w:trPr>
          <w:trHeight w:val="243"/>
        </w:trPr>
        <w:tc>
          <w:tcPr>
            <w:tcW w:w="2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1"/>
                <w:szCs w:val="21"/>
                <w:color w:val="auto"/>
              </w:rPr>
            </w:pPr>
          </w:p>
        </w:tc>
        <w:tc>
          <w:tcPr>
            <w:tcW w:w="7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33,338</w:t>
            </w: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14,796</w:t>
            </w:r>
          </w:p>
        </w:tc>
        <w:tc>
          <w:tcPr>
            <w:tcW w:w="14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26,506</w:t>
            </w:r>
          </w:p>
        </w:tc>
        <w:tc>
          <w:tcPr>
            <w:tcW w:w="80" w:type="dxa"/>
            <w:vAlign w:val="bottom"/>
          </w:tcPr>
          <w:p>
            <w:pPr>
              <w:spacing w:after="0"/>
              <w:rPr>
                <w:sz w:val="21"/>
                <w:szCs w:val="21"/>
                <w:color w:val="auto"/>
              </w:rPr>
            </w:pPr>
          </w:p>
        </w:tc>
      </w:tr>
      <w:tr>
        <w:trPr>
          <w:trHeight w:val="48"/>
        </w:trPr>
        <w:tc>
          <w:tcPr>
            <w:tcW w:w="2400" w:type="dxa"/>
            <w:vAlign w:val="bottom"/>
            <w:shd w:val="clear" w:color="auto" w:fill="000000"/>
          </w:tcPr>
          <w:p>
            <w:pPr>
              <w:spacing w:after="0"/>
              <w:rPr>
                <w:sz w:val="4"/>
                <w:szCs w:val="4"/>
                <w:color w:val="auto"/>
              </w:rPr>
            </w:pPr>
          </w:p>
        </w:tc>
        <w:tc>
          <w:tcPr>
            <w:tcW w:w="40" w:type="dxa"/>
            <w:vAlign w:val="bottom"/>
            <w:tcBorders>
              <w:right w:val="single" w:sz="8" w:color="auto"/>
            </w:tcBorders>
            <w:shd w:val="clear" w:color="auto" w:fill="000000"/>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000000"/>
          </w:tcPr>
          <w:p>
            <w:pPr>
              <w:spacing w:after="0"/>
              <w:rPr>
                <w:sz w:val="4"/>
                <w:szCs w:val="4"/>
                <w:color w:val="auto"/>
              </w:rPr>
            </w:pPr>
          </w:p>
        </w:tc>
        <w:tc>
          <w:tcPr>
            <w:tcW w:w="40" w:type="dxa"/>
            <w:vAlign w:val="bottom"/>
            <w:tcBorders>
              <w:right w:val="single" w:sz="8" w:color="auto"/>
            </w:tcBorders>
            <w:shd w:val="clear" w:color="auto" w:fill="000000"/>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shd w:val="clear" w:color="auto" w:fill="000000"/>
          </w:tcPr>
          <w:p>
            <w:pPr>
              <w:spacing w:after="0"/>
              <w:rPr>
                <w:sz w:val="4"/>
                <w:szCs w:val="4"/>
                <w:color w:val="auto"/>
              </w:rPr>
            </w:pPr>
          </w:p>
        </w:tc>
        <w:tc>
          <w:tcPr>
            <w:tcW w:w="200" w:type="dxa"/>
            <w:vAlign w:val="bottom"/>
            <w:shd w:val="clear" w:color="auto" w:fill="000000"/>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shd w:val="clear" w:color="auto" w:fill="000000"/>
          </w:tcPr>
          <w:p>
            <w:pPr>
              <w:spacing w:after="0"/>
              <w:rPr>
                <w:sz w:val="4"/>
                <w:szCs w:val="4"/>
                <w:color w:val="auto"/>
              </w:rPr>
            </w:pPr>
          </w:p>
        </w:tc>
        <w:tc>
          <w:tcPr>
            <w:tcW w:w="40" w:type="dxa"/>
            <w:vAlign w:val="bottom"/>
            <w:tcBorders>
              <w:right w:val="single" w:sz="8" w:color="auto"/>
            </w:tcBorders>
            <w:shd w:val="clear" w:color="auto" w:fill="000000"/>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shd w:val="clear" w:color="auto" w:fill="000000"/>
          </w:tcPr>
          <w:p>
            <w:pPr>
              <w:spacing w:after="0"/>
              <w:rPr>
                <w:sz w:val="4"/>
                <w:szCs w:val="4"/>
                <w:color w:val="auto"/>
              </w:rPr>
            </w:pPr>
          </w:p>
        </w:tc>
        <w:tc>
          <w:tcPr>
            <w:tcW w:w="240" w:type="dxa"/>
            <w:vAlign w:val="bottom"/>
            <w:shd w:val="clear" w:color="auto" w:fill="000000"/>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shd w:val="clear" w:color="auto" w:fill="000000"/>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shd w:val="clear" w:color="auto" w:fill="000000"/>
          </w:tcPr>
          <w:p>
            <w:pPr>
              <w:spacing w:after="0"/>
              <w:rPr>
                <w:sz w:val="4"/>
                <w:szCs w:val="4"/>
                <w:color w:val="auto"/>
              </w:rPr>
            </w:pPr>
          </w:p>
        </w:tc>
        <w:tc>
          <w:tcPr>
            <w:tcW w:w="440" w:type="dxa"/>
            <w:vAlign w:val="bottom"/>
            <w:shd w:val="clear" w:color="auto" w:fill="000000"/>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shd w:val="clear" w:color="auto" w:fill="000000"/>
          </w:tcPr>
          <w:p>
            <w:pPr>
              <w:spacing w:after="0"/>
              <w:rPr>
                <w:sz w:val="4"/>
                <w:szCs w:val="4"/>
                <w:color w:val="auto"/>
              </w:rPr>
            </w:pPr>
          </w:p>
        </w:tc>
        <w:tc>
          <w:tcPr>
            <w:tcW w:w="640" w:type="dxa"/>
            <w:vAlign w:val="bottom"/>
            <w:shd w:val="clear" w:color="auto" w:fill="000000"/>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shd w:val="clear" w:color="auto" w:fill="000000"/>
          </w:tcPr>
          <w:p>
            <w:pPr>
              <w:spacing w:after="0"/>
              <w:rPr>
                <w:sz w:val="4"/>
                <w:szCs w:val="4"/>
                <w:color w:val="auto"/>
              </w:rPr>
            </w:pPr>
          </w:p>
        </w:tc>
        <w:tc>
          <w:tcPr>
            <w:tcW w:w="100" w:type="dxa"/>
            <w:vAlign w:val="bottom"/>
            <w:shd w:val="clear" w:color="auto" w:fill="000000"/>
          </w:tcPr>
          <w:p>
            <w:pPr>
              <w:spacing w:after="0"/>
              <w:rPr>
                <w:sz w:val="4"/>
                <w:szCs w:val="4"/>
                <w:color w:val="auto"/>
              </w:rPr>
            </w:pPr>
          </w:p>
        </w:tc>
        <w:tc>
          <w:tcPr>
            <w:tcW w:w="660" w:type="dxa"/>
            <w:vAlign w:val="bottom"/>
            <w:shd w:val="clear" w:color="auto" w:fill="000000"/>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shd w:val="clear" w:color="auto" w:fill="000000"/>
          </w:tcPr>
          <w:p>
            <w:pPr>
              <w:spacing w:after="0"/>
              <w:rPr>
                <w:sz w:val="4"/>
                <w:szCs w:val="4"/>
                <w:color w:val="auto"/>
              </w:rPr>
            </w:pPr>
          </w:p>
        </w:tc>
        <w:tc>
          <w:tcPr>
            <w:tcW w:w="160" w:type="dxa"/>
            <w:vAlign w:val="bottom"/>
            <w:shd w:val="clear" w:color="auto" w:fill="000000"/>
          </w:tcPr>
          <w:p>
            <w:pPr>
              <w:spacing w:after="0"/>
              <w:rPr>
                <w:sz w:val="4"/>
                <w:szCs w:val="4"/>
                <w:color w:val="auto"/>
              </w:rPr>
            </w:pPr>
          </w:p>
        </w:tc>
        <w:tc>
          <w:tcPr>
            <w:tcW w:w="580" w:type="dxa"/>
            <w:vAlign w:val="bottom"/>
            <w:shd w:val="clear" w:color="auto" w:fill="000000"/>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shd w:val="clear" w:color="auto" w:fill="000000"/>
          </w:tcPr>
          <w:p>
            <w:pPr>
              <w:spacing w:after="0"/>
              <w:rPr>
                <w:sz w:val="4"/>
                <w:szCs w:val="4"/>
                <w:color w:val="auto"/>
              </w:rPr>
            </w:pPr>
          </w:p>
        </w:tc>
        <w:tc>
          <w:tcPr>
            <w:tcW w:w="120" w:type="dxa"/>
            <w:vAlign w:val="bottom"/>
            <w:shd w:val="clear" w:color="auto" w:fill="000000"/>
          </w:tcPr>
          <w:p>
            <w:pPr>
              <w:spacing w:after="0"/>
              <w:rPr>
                <w:sz w:val="4"/>
                <w:szCs w:val="4"/>
                <w:color w:val="auto"/>
              </w:rPr>
            </w:pPr>
          </w:p>
        </w:tc>
        <w:tc>
          <w:tcPr>
            <w:tcW w:w="620" w:type="dxa"/>
            <w:vAlign w:val="bottom"/>
            <w:shd w:val="clear" w:color="auto" w:fill="000000"/>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shd w:val="clear" w:color="auto" w:fill="000000"/>
          </w:tcPr>
          <w:p>
            <w:pPr>
              <w:spacing w:after="0"/>
              <w:rPr>
                <w:sz w:val="4"/>
                <w:szCs w:val="4"/>
                <w:color w:val="auto"/>
              </w:rPr>
            </w:pPr>
          </w:p>
        </w:tc>
        <w:tc>
          <w:tcPr>
            <w:tcW w:w="100" w:type="dxa"/>
            <w:vAlign w:val="bottom"/>
            <w:shd w:val="clear" w:color="auto" w:fill="000000"/>
          </w:tcPr>
          <w:p>
            <w:pPr>
              <w:spacing w:after="0"/>
              <w:rPr>
                <w:sz w:val="4"/>
                <w:szCs w:val="4"/>
                <w:color w:val="auto"/>
              </w:rPr>
            </w:pPr>
          </w:p>
        </w:tc>
        <w:tc>
          <w:tcPr>
            <w:tcW w:w="640" w:type="dxa"/>
            <w:vAlign w:val="bottom"/>
            <w:shd w:val="clear" w:color="auto" w:fill="000000"/>
          </w:tcPr>
          <w:p>
            <w:pPr>
              <w:spacing w:after="0"/>
              <w:rPr>
                <w:sz w:val="4"/>
                <w:szCs w:val="4"/>
                <w:color w:val="auto"/>
              </w:rPr>
            </w:pPr>
          </w:p>
        </w:tc>
        <w:tc>
          <w:tcPr>
            <w:tcW w:w="80" w:type="dxa"/>
            <w:vAlign w:val="bottom"/>
          </w:tcPr>
          <w:p>
            <w:pPr>
              <w:spacing w:after="0"/>
              <w:rPr>
                <w:sz w:val="4"/>
                <w:szCs w:val="4"/>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5840" w:h="12240" w:orient="landscape"/>
          <w:cols w:equalWidth="0" w:num="1">
            <w:col w:w="13140"/>
          </w:cols>
          <w:pgMar w:left="1440" w:top="485" w:right="1260" w:bottom="3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292929"/>
        </w:rPr>
        <w:t>F-7</w:t>
      </w:r>
    </w:p>
    <w:p>
      <w:pPr>
        <w:sectPr>
          <w:pgSz w:w="15840" w:h="12240" w:orient="landscape"/>
          <w:cols w:equalWidth="0" w:num="1">
            <w:col w:w="13140"/>
          </w:cols>
          <w:pgMar w:left="1440" w:top="485" w:right="1260" w:bottom="387" w:gutter="0" w:footer="0" w:header="0"/>
          <w:type w:val="continuous"/>
        </w:sectPr>
      </w:pPr>
    </w:p>
    <w:bookmarkStart w:id="73" w:name="page74"/>
    <w:bookmarkEnd w:id="73"/>
    <w:p>
      <w:pPr>
        <w:jc w:val="center"/>
        <w:ind w:right="180"/>
        <w:spacing w:after="0"/>
        <w:rPr>
          <w:sz w:val="20"/>
          <w:szCs w:val="20"/>
          <w:color w:val="auto"/>
        </w:rPr>
      </w:pPr>
      <w:r>
        <w:rPr>
          <w:rFonts w:ascii="Times New Roman" w:cs="Times New Roman" w:eastAsia="Times New Roman" w:hAnsi="Times New Roman"/>
          <w:sz w:val="19"/>
          <w:szCs w:val="19"/>
          <w:b w:val="1"/>
          <w:bCs w:val="1"/>
          <w:color w:val="292929"/>
        </w:rPr>
        <w:t>GEN RESTAURANT GROUP, INC.</w:t>
      </w:r>
    </w:p>
    <w:p>
      <w:pPr>
        <w:spacing w:after="0" w:line="3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b w:val="1"/>
          <w:bCs w:val="1"/>
          <w:color w:val="292929"/>
        </w:rPr>
        <w:t>Consolidated Statements of Cash Flows</w:t>
      </w:r>
    </w:p>
    <w:p>
      <w:pPr>
        <w:spacing w:after="0" w:line="13"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4031615</wp:posOffset>
                </wp:positionH>
                <wp:positionV relativeFrom="paragraph">
                  <wp:posOffset>0</wp:posOffset>
                </wp:positionV>
                <wp:extent cx="186563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656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7.45pt,0pt" to="464.35pt,0pt" o:allowincell="f" strokecolor="#000000" strokeweight="0.75pt"/>
            </w:pict>
          </mc:Fallback>
        </mc:AlternateContent>
      </w:r>
    </w:p>
    <w:tbl>
      <w:tblPr>
        <w:tblLayout w:type="fixed"/>
        <w:tblInd w:w="0" w:type="dxa"/>
        <w:tblCellMar>
          <w:top w:w="0" w:type="dxa"/>
          <w:left w:w="0" w:type="dxa"/>
          <w:bottom w:w="0" w:type="dxa"/>
          <w:right w:w="0" w:type="dxa"/>
        </w:tblCellMar>
      </w:tblPr>
      <w:tr>
        <w:trPr>
          <w:trHeight w:val="196"/>
        </w:trPr>
        <w:tc>
          <w:tcPr>
            <w:tcW w:w="63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EAEAEA"/>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00" w:type="dxa"/>
            <w:vAlign w:val="bottom"/>
            <w:shd w:val="clear" w:color="auto" w:fill="EAEAEA"/>
          </w:tcPr>
          <w:p>
            <w:pPr>
              <w:spacing w:after="0"/>
              <w:rPr>
                <w:sz w:val="18"/>
                <w:szCs w:val="18"/>
                <w:color w:val="auto"/>
              </w:rPr>
            </w:pPr>
          </w:p>
        </w:tc>
        <w:tc>
          <w:tcPr>
            <w:tcW w:w="106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300" w:type="dxa"/>
            <w:vAlign w:val="bottom"/>
            <w:shd w:val="clear" w:color="auto" w:fill="EAEAEA"/>
          </w:tcPr>
          <w:p>
            <w:pPr>
              <w:spacing w:after="0"/>
              <w:rPr>
                <w:sz w:val="18"/>
                <w:szCs w:val="18"/>
                <w:color w:val="auto"/>
              </w:rPr>
            </w:pPr>
          </w:p>
        </w:tc>
        <w:tc>
          <w:tcPr>
            <w:tcW w:w="10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(loss) income</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(19,375)</w:t>
            </w:r>
          </w:p>
        </w:tc>
        <w:tc>
          <w:tcPr>
            <w:tcW w:w="160" w:type="dxa"/>
            <w:vAlign w:val="bottom"/>
          </w:tcPr>
          <w:p>
            <w:pPr>
              <w:spacing w:after="0"/>
              <w:rPr>
                <w:sz w:val="18"/>
                <w:szCs w:val="18"/>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4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17"/>
                <w:szCs w:val="17"/>
                <w:color w:val="auto"/>
              </w:rPr>
              <w:t>Adjustments to reconcile net (loss) income to cash provided by operating activities</w:t>
            </w:r>
          </w:p>
        </w:tc>
        <w:tc>
          <w:tcPr>
            <w:tcW w:w="300" w:type="dxa"/>
            <w:vAlign w:val="bottom"/>
            <w:shd w:val="clear" w:color="auto" w:fill="EAEAEA"/>
          </w:tcPr>
          <w:p>
            <w:pPr>
              <w:spacing w:after="0"/>
              <w:rPr>
                <w:sz w:val="18"/>
                <w:szCs w:val="18"/>
                <w:color w:val="auto"/>
              </w:rPr>
            </w:pPr>
          </w:p>
        </w:tc>
        <w:tc>
          <w:tcPr>
            <w:tcW w:w="106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300" w:type="dxa"/>
            <w:vAlign w:val="bottom"/>
            <w:shd w:val="clear" w:color="auto" w:fill="EAEAEA"/>
          </w:tcPr>
          <w:p>
            <w:pPr>
              <w:spacing w:after="0"/>
              <w:rPr>
                <w:sz w:val="18"/>
                <w:szCs w:val="18"/>
                <w:color w:val="auto"/>
              </w:rPr>
            </w:pPr>
          </w:p>
        </w:tc>
        <w:tc>
          <w:tcPr>
            <w:tcW w:w="10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40" w:type="dxa"/>
            <w:vAlign w:val="bottom"/>
            <w:shd w:val="clear" w:color="auto" w:fill="EAEAEA"/>
          </w:tcPr>
          <w:p>
            <w:pPr>
              <w:ind w:left="600"/>
              <w:spacing w:after="0"/>
              <w:rPr>
                <w:sz w:val="20"/>
                <w:szCs w:val="20"/>
                <w:color w:val="auto"/>
              </w:rPr>
            </w:pPr>
            <w:r>
              <w:rPr>
                <w:rFonts w:ascii="Times New Roman" w:cs="Times New Roman" w:eastAsia="Times New Roman" w:hAnsi="Times New Roman"/>
                <w:sz w:val="17"/>
                <w:szCs w:val="17"/>
                <w:color w:val="auto"/>
              </w:rPr>
              <w:t>Equity in income of equity method investee, net of distributions</w:t>
            </w:r>
          </w:p>
        </w:tc>
        <w:tc>
          <w:tcPr>
            <w:tcW w:w="300" w:type="dxa"/>
            <w:vAlign w:val="bottom"/>
            <w:shd w:val="clear" w:color="auto" w:fill="EAEAEA"/>
          </w:tcPr>
          <w:p>
            <w:pPr>
              <w:spacing w:after="0"/>
              <w:rPr>
                <w:sz w:val="18"/>
                <w:szCs w:val="18"/>
                <w:color w:val="auto"/>
              </w:rPr>
            </w:pPr>
          </w:p>
        </w:tc>
        <w:tc>
          <w:tcPr>
            <w:tcW w:w="1300" w:type="dxa"/>
            <w:vAlign w:val="bottom"/>
            <w:gridSpan w:val="3"/>
            <w:shd w:val="clear" w:color="auto" w:fill="EAEAEA"/>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EAEAEA"/>
          </w:tcPr>
          <w:p>
            <w:pPr>
              <w:spacing w:after="0"/>
              <w:rPr>
                <w:sz w:val="18"/>
                <w:szCs w:val="18"/>
                <w:color w:val="auto"/>
              </w:rPr>
            </w:pPr>
          </w:p>
        </w:tc>
        <w:tc>
          <w:tcPr>
            <w:tcW w:w="1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Gain on remeasurement of previously held interest</w:t>
            </w:r>
          </w:p>
        </w:tc>
        <w:tc>
          <w:tcPr>
            <w:tcW w:w="30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(3,402)</w:t>
            </w:r>
          </w:p>
        </w:tc>
        <w:tc>
          <w:tcPr>
            <w:tcW w:w="0" w:type="dxa"/>
            <w:vAlign w:val="bottom"/>
          </w:tcPr>
          <w:p>
            <w:pPr>
              <w:spacing w:after="0"/>
              <w:rPr>
                <w:sz w:val="1"/>
                <w:szCs w:val="1"/>
                <w:color w:val="auto"/>
              </w:rPr>
            </w:pPr>
          </w:p>
        </w:tc>
      </w:tr>
      <w:tr>
        <w:trPr>
          <w:trHeight w:val="209"/>
        </w:trPr>
        <w:tc>
          <w:tcPr>
            <w:tcW w:w="6340" w:type="dxa"/>
            <w:vAlign w:val="bottom"/>
            <w:shd w:val="clear" w:color="auto" w:fill="EAEAEA"/>
          </w:tcPr>
          <w:p>
            <w:pPr>
              <w:ind w:left="600"/>
              <w:spacing w:after="0"/>
              <w:rPr>
                <w:sz w:val="20"/>
                <w:szCs w:val="20"/>
                <w:color w:val="auto"/>
              </w:rPr>
            </w:pPr>
            <w:r>
              <w:rPr>
                <w:rFonts w:ascii="Times New Roman" w:cs="Times New Roman" w:eastAsia="Times New Roman" w:hAnsi="Times New Roman"/>
                <w:sz w:val="17"/>
                <w:szCs w:val="17"/>
                <w:color w:val="auto"/>
              </w:rPr>
              <w:t>Stock-based compensation</w:t>
            </w:r>
          </w:p>
        </w:tc>
        <w:tc>
          <w:tcPr>
            <w:tcW w:w="300" w:type="dxa"/>
            <w:vAlign w:val="bottom"/>
            <w:shd w:val="clear" w:color="auto" w:fill="EAEAEA"/>
          </w:tcPr>
          <w:p>
            <w:pPr>
              <w:spacing w:after="0"/>
              <w:rPr>
                <w:sz w:val="18"/>
                <w:szCs w:val="18"/>
                <w:color w:val="auto"/>
              </w:rPr>
            </w:pPr>
          </w:p>
        </w:tc>
        <w:tc>
          <w:tcPr>
            <w:tcW w:w="10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2,936</w:t>
            </w:r>
          </w:p>
        </w:tc>
        <w:tc>
          <w:tcPr>
            <w:tcW w:w="8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300" w:type="dxa"/>
            <w:vAlign w:val="bottom"/>
            <w:shd w:val="clear" w:color="auto" w:fill="EAEAEA"/>
          </w:tcPr>
          <w:p>
            <w:pPr>
              <w:spacing w:after="0"/>
              <w:rPr>
                <w:sz w:val="18"/>
                <w:szCs w:val="18"/>
                <w:color w:val="auto"/>
              </w:rPr>
            </w:pPr>
          </w:p>
        </w:tc>
        <w:tc>
          <w:tcPr>
            <w:tcW w:w="1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2,986</w:t>
            </w:r>
          </w:p>
        </w:tc>
        <w:tc>
          <w:tcPr>
            <w:tcW w:w="8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4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Amortization of operating lease assets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EAEAEA"/>
          </w:tcPr>
          <w:p>
            <w:pPr>
              <w:ind w:left="600"/>
              <w:spacing w:after="0"/>
              <w:rPr>
                <w:sz w:val="20"/>
                <w:szCs w:val="20"/>
                <w:color w:val="auto"/>
              </w:rPr>
            </w:pPr>
            <w:r>
              <w:rPr>
                <w:rFonts w:ascii="Times New Roman" w:cs="Times New Roman" w:eastAsia="Times New Roman" w:hAnsi="Times New Roman"/>
                <w:sz w:val="17"/>
                <w:szCs w:val="17"/>
                <w:color w:val="auto"/>
              </w:rPr>
              <w:t>Gain on lease terminations</w:t>
            </w:r>
          </w:p>
        </w:tc>
        <w:tc>
          <w:tcPr>
            <w:tcW w:w="300" w:type="dxa"/>
            <w:vAlign w:val="bottom"/>
            <w:shd w:val="clear" w:color="auto" w:fill="EAEAEA"/>
          </w:tcPr>
          <w:p>
            <w:pPr>
              <w:spacing w:after="0"/>
              <w:rPr>
                <w:sz w:val="18"/>
                <w:szCs w:val="18"/>
                <w:color w:val="auto"/>
              </w:rPr>
            </w:pPr>
          </w:p>
        </w:tc>
        <w:tc>
          <w:tcPr>
            <w:tcW w:w="114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17"/>
                <w:szCs w:val="17"/>
                <w:color w:val="auto"/>
              </w:rPr>
              <w:t>(471)</w:t>
            </w:r>
          </w:p>
        </w:tc>
        <w:tc>
          <w:tcPr>
            <w:tcW w:w="160" w:type="dxa"/>
            <w:vAlign w:val="bottom"/>
            <w:shd w:val="clear" w:color="auto" w:fill="EAEAEA"/>
          </w:tcPr>
          <w:p>
            <w:pPr>
              <w:spacing w:after="0"/>
              <w:rPr>
                <w:sz w:val="18"/>
                <w:szCs w:val="18"/>
                <w:color w:val="auto"/>
              </w:rPr>
            </w:pPr>
          </w:p>
        </w:tc>
        <w:tc>
          <w:tcPr>
            <w:tcW w:w="300" w:type="dxa"/>
            <w:vAlign w:val="bottom"/>
            <w:shd w:val="clear" w:color="auto" w:fill="EAEAEA"/>
          </w:tcPr>
          <w:p>
            <w:pPr>
              <w:spacing w:after="0"/>
              <w:rPr>
                <w:sz w:val="18"/>
                <w:szCs w:val="18"/>
                <w:color w:val="auto"/>
              </w:rPr>
            </w:pPr>
          </w:p>
        </w:tc>
        <w:tc>
          <w:tcPr>
            <w:tcW w:w="112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634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Impairment expense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6340" w:type="dxa"/>
            <w:vAlign w:val="bottom"/>
            <w:shd w:val="clear" w:color="auto" w:fill="EAEAEA"/>
          </w:tcPr>
          <w:p>
            <w:pPr>
              <w:ind w:left="600"/>
              <w:spacing w:after="0"/>
              <w:rPr>
                <w:sz w:val="20"/>
                <w:szCs w:val="20"/>
                <w:color w:val="auto"/>
              </w:rPr>
            </w:pPr>
            <w:r>
              <w:rPr>
                <w:rFonts w:ascii="Times New Roman" w:cs="Times New Roman" w:eastAsia="Times New Roman" w:hAnsi="Times New Roman"/>
                <w:sz w:val="17"/>
                <w:szCs w:val="17"/>
                <w:color w:val="auto"/>
              </w:rPr>
              <w:t>Interest income earned on Notes receivable from related party</w:t>
            </w:r>
          </w:p>
        </w:tc>
        <w:tc>
          <w:tcPr>
            <w:tcW w:w="300" w:type="dxa"/>
            <w:vAlign w:val="bottom"/>
            <w:shd w:val="clear" w:color="auto" w:fill="EAEAEA"/>
          </w:tcPr>
          <w:p>
            <w:pPr>
              <w:spacing w:after="0"/>
              <w:rPr>
                <w:sz w:val="18"/>
                <w:szCs w:val="18"/>
                <w:color w:val="auto"/>
              </w:rPr>
            </w:pPr>
          </w:p>
        </w:tc>
        <w:tc>
          <w:tcPr>
            <w:tcW w:w="1300" w:type="dxa"/>
            <w:vAlign w:val="bottom"/>
            <w:gridSpan w:val="3"/>
            <w:shd w:val="clear" w:color="auto" w:fill="EAEAEA"/>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EAEAEA"/>
          </w:tcPr>
          <w:p>
            <w:pPr>
              <w:spacing w:after="0"/>
              <w:rPr>
                <w:sz w:val="18"/>
                <w:szCs w:val="18"/>
                <w:color w:val="auto"/>
              </w:rPr>
            </w:pPr>
          </w:p>
        </w:tc>
        <w:tc>
          <w:tcPr>
            <w:tcW w:w="112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9"/>
        </w:trPr>
        <w:tc>
          <w:tcPr>
            <w:tcW w:w="634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Deferred tax expense</w:t>
            </w: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(914)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4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00" w:type="dxa"/>
            <w:vAlign w:val="bottom"/>
            <w:shd w:val="clear" w:color="auto" w:fill="EAEAEA"/>
          </w:tcPr>
          <w:p>
            <w:pPr>
              <w:spacing w:after="0"/>
              <w:rPr>
                <w:sz w:val="18"/>
                <w:szCs w:val="18"/>
                <w:color w:val="auto"/>
              </w:rPr>
            </w:pPr>
          </w:p>
        </w:tc>
        <w:tc>
          <w:tcPr>
            <w:tcW w:w="106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300" w:type="dxa"/>
            <w:vAlign w:val="bottom"/>
            <w:shd w:val="clear" w:color="auto" w:fill="EAEAEA"/>
          </w:tcPr>
          <w:p>
            <w:pPr>
              <w:spacing w:after="0"/>
              <w:rPr>
                <w:sz w:val="18"/>
                <w:szCs w:val="18"/>
                <w:color w:val="auto"/>
              </w:rPr>
            </w:pPr>
          </w:p>
        </w:tc>
        <w:tc>
          <w:tcPr>
            <w:tcW w:w="10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Accounts receivable</w:t>
            </w: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(6,936)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(3,487)</w:t>
            </w:r>
          </w:p>
        </w:tc>
        <w:tc>
          <w:tcPr>
            <w:tcW w:w="0" w:type="dxa"/>
            <w:vAlign w:val="bottom"/>
          </w:tcPr>
          <w:p>
            <w:pPr>
              <w:spacing w:after="0"/>
              <w:rPr>
                <w:sz w:val="1"/>
                <w:szCs w:val="1"/>
                <w:color w:val="auto"/>
              </w:rPr>
            </w:pPr>
          </w:p>
        </w:tc>
      </w:tr>
      <w:tr>
        <w:trPr>
          <w:trHeight w:val="209"/>
        </w:trPr>
        <w:tc>
          <w:tcPr>
            <w:tcW w:w="6340" w:type="dxa"/>
            <w:vAlign w:val="bottom"/>
            <w:shd w:val="clear" w:color="auto" w:fill="EAEAEA"/>
          </w:tcPr>
          <w:p>
            <w:pPr>
              <w:ind w:left="800"/>
              <w:spacing w:after="0"/>
              <w:rPr>
                <w:sz w:val="20"/>
                <w:szCs w:val="20"/>
                <w:color w:val="auto"/>
              </w:rPr>
            </w:pPr>
            <w:r>
              <w:rPr>
                <w:rFonts w:ascii="Times New Roman" w:cs="Times New Roman" w:eastAsia="Times New Roman" w:hAnsi="Times New Roman"/>
                <w:sz w:val="17"/>
                <w:szCs w:val="17"/>
                <w:color w:val="auto"/>
              </w:rPr>
              <w:t>Inventories</w:t>
            </w:r>
          </w:p>
        </w:tc>
        <w:tc>
          <w:tcPr>
            <w:tcW w:w="300" w:type="dxa"/>
            <w:vAlign w:val="bottom"/>
            <w:shd w:val="clear" w:color="auto" w:fill="EAEAEA"/>
          </w:tcPr>
          <w:p>
            <w:pPr>
              <w:spacing w:after="0"/>
              <w:rPr>
                <w:sz w:val="18"/>
                <w:szCs w:val="18"/>
                <w:color w:val="auto"/>
              </w:rPr>
            </w:pPr>
          </w:p>
        </w:tc>
        <w:tc>
          <w:tcPr>
            <w:tcW w:w="114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17"/>
                <w:szCs w:val="17"/>
                <w:color w:val="auto"/>
              </w:rPr>
              <w:t>(485)</w:t>
            </w:r>
          </w:p>
        </w:tc>
        <w:tc>
          <w:tcPr>
            <w:tcW w:w="160" w:type="dxa"/>
            <w:vAlign w:val="bottom"/>
            <w:shd w:val="clear" w:color="auto" w:fill="EAEAEA"/>
          </w:tcPr>
          <w:p>
            <w:pPr>
              <w:spacing w:after="0"/>
              <w:rPr>
                <w:sz w:val="18"/>
                <w:szCs w:val="18"/>
                <w:color w:val="auto"/>
              </w:rPr>
            </w:pPr>
          </w:p>
        </w:tc>
        <w:tc>
          <w:tcPr>
            <w:tcW w:w="300" w:type="dxa"/>
            <w:vAlign w:val="bottom"/>
            <w:shd w:val="clear" w:color="auto" w:fill="EAEAEA"/>
          </w:tcPr>
          <w:p>
            <w:pPr>
              <w:spacing w:after="0"/>
              <w:rPr>
                <w:sz w:val="18"/>
                <w:szCs w:val="18"/>
                <w:color w:val="auto"/>
              </w:rPr>
            </w:pPr>
          </w:p>
        </w:tc>
        <w:tc>
          <w:tcPr>
            <w:tcW w:w="112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0" w:type="dxa"/>
            <w:vAlign w:val="bottom"/>
          </w:tcPr>
          <w:p>
            <w:pPr>
              <w:spacing w:after="0"/>
              <w:rPr>
                <w:sz w:val="1"/>
                <w:szCs w:val="1"/>
                <w:color w:val="auto"/>
              </w:rPr>
            </w:pPr>
          </w:p>
        </w:tc>
      </w:tr>
      <w:tr>
        <w:trPr>
          <w:trHeight w:val="210"/>
        </w:trPr>
        <w:tc>
          <w:tcPr>
            <w:tcW w:w="63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Income tax receivable</w:t>
            </w: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(742)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6340" w:type="dxa"/>
            <w:vAlign w:val="bottom"/>
            <w:shd w:val="clear" w:color="auto" w:fill="EAEAEA"/>
          </w:tcPr>
          <w:p>
            <w:pPr>
              <w:ind w:left="8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00" w:type="dxa"/>
            <w:vAlign w:val="bottom"/>
            <w:shd w:val="clear" w:color="auto" w:fill="EAEAEA"/>
          </w:tcPr>
          <w:p>
            <w:pPr>
              <w:spacing w:after="0"/>
              <w:rPr>
                <w:sz w:val="18"/>
                <w:szCs w:val="18"/>
                <w:color w:val="auto"/>
              </w:rPr>
            </w:pPr>
          </w:p>
        </w:tc>
        <w:tc>
          <w:tcPr>
            <w:tcW w:w="114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17"/>
                <w:szCs w:val="17"/>
                <w:color w:val="auto"/>
              </w:rPr>
              <w:t>(1,542)</w:t>
            </w:r>
          </w:p>
        </w:tc>
        <w:tc>
          <w:tcPr>
            <w:tcW w:w="160" w:type="dxa"/>
            <w:vAlign w:val="bottom"/>
            <w:shd w:val="clear" w:color="auto" w:fill="EAEAEA"/>
          </w:tcPr>
          <w:p>
            <w:pPr>
              <w:spacing w:after="0"/>
              <w:rPr>
                <w:sz w:val="18"/>
                <w:szCs w:val="18"/>
                <w:color w:val="auto"/>
              </w:rPr>
            </w:pPr>
          </w:p>
        </w:tc>
        <w:tc>
          <w:tcPr>
            <w:tcW w:w="300" w:type="dxa"/>
            <w:vAlign w:val="bottom"/>
            <w:shd w:val="clear" w:color="auto" w:fill="EAEAEA"/>
          </w:tcPr>
          <w:p>
            <w:pPr>
              <w:spacing w:after="0"/>
              <w:rPr>
                <w:sz w:val="18"/>
                <w:szCs w:val="18"/>
                <w:color w:val="auto"/>
              </w:rPr>
            </w:pPr>
          </w:p>
        </w:tc>
        <w:tc>
          <w:tcPr>
            <w:tcW w:w="112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(2,613)</w:t>
            </w:r>
          </w:p>
        </w:tc>
        <w:tc>
          <w:tcPr>
            <w:tcW w:w="0" w:type="dxa"/>
            <w:vAlign w:val="bottom"/>
          </w:tcPr>
          <w:p>
            <w:pPr>
              <w:spacing w:after="0"/>
              <w:rPr>
                <w:sz w:val="1"/>
                <w:szCs w:val="1"/>
                <w:color w:val="auto"/>
              </w:rPr>
            </w:pPr>
          </w:p>
        </w:tc>
      </w:tr>
      <w:tr>
        <w:trPr>
          <w:trHeight w:val="210"/>
        </w:trPr>
        <w:tc>
          <w:tcPr>
            <w:tcW w:w="63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Other assets</w:t>
            </w: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(1,226)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0" w:type="dxa"/>
            <w:vAlign w:val="bottom"/>
          </w:tcPr>
          <w:p>
            <w:pPr>
              <w:spacing w:after="0"/>
              <w:rPr>
                <w:sz w:val="1"/>
                <w:szCs w:val="1"/>
                <w:color w:val="auto"/>
              </w:rPr>
            </w:pPr>
          </w:p>
        </w:tc>
      </w:tr>
      <w:tr>
        <w:trPr>
          <w:trHeight w:val="209"/>
        </w:trPr>
        <w:tc>
          <w:tcPr>
            <w:tcW w:w="6340" w:type="dxa"/>
            <w:vAlign w:val="bottom"/>
            <w:shd w:val="clear" w:color="auto" w:fill="EAEAEA"/>
          </w:tcPr>
          <w:p>
            <w:pPr>
              <w:ind w:left="800"/>
              <w:spacing w:after="0"/>
              <w:rPr>
                <w:sz w:val="20"/>
                <w:szCs w:val="20"/>
                <w:color w:val="auto"/>
              </w:rPr>
            </w:pPr>
            <w:r>
              <w:rPr>
                <w:rFonts w:ascii="Times New Roman" w:cs="Times New Roman" w:eastAsia="Times New Roman" w:hAnsi="Times New Roman"/>
                <w:sz w:val="17"/>
                <w:szCs w:val="17"/>
                <w:color w:val="auto"/>
              </w:rPr>
              <w:t>Accounts payable</w:t>
            </w:r>
          </w:p>
        </w:tc>
        <w:tc>
          <w:tcPr>
            <w:tcW w:w="300" w:type="dxa"/>
            <w:vAlign w:val="bottom"/>
            <w:shd w:val="clear" w:color="auto" w:fill="EAEAEA"/>
          </w:tcPr>
          <w:p>
            <w:pPr>
              <w:spacing w:after="0"/>
              <w:rPr>
                <w:sz w:val="18"/>
                <w:szCs w:val="18"/>
                <w:color w:val="auto"/>
              </w:rPr>
            </w:pPr>
          </w:p>
        </w:tc>
        <w:tc>
          <w:tcPr>
            <w:tcW w:w="10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2,266</w:t>
            </w:r>
          </w:p>
        </w:tc>
        <w:tc>
          <w:tcPr>
            <w:tcW w:w="8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300" w:type="dxa"/>
            <w:vAlign w:val="bottom"/>
            <w:shd w:val="clear" w:color="auto" w:fill="EAEAEA"/>
          </w:tcPr>
          <w:p>
            <w:pPr>
              <w:spacing w:after="0"/>
              <w:rPr>
                <w:sz w:val="18"/>
                <w:szCs w:val="18"/>
                <w:color w:val="auto"/>
              </w:rPr>
            </w:pPr>
          </w:p>
        </w:tc>
        <w:tc>
          <w:tcPr>
            <w:tcW w:w="1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730</w:t>
            </w:r>
          </w:p>
        </w:tc>
        <w:tc>
          <w:tcPr>
            <w:tcW w:w="8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Accrued salaries and benefits</w:t>
            </w: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(703)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EAEAEA"/>
          </w:tcPr>
          <w:p>
            <w:pPr>
              <w:ind w:left="800"/>
              <w:spacing w:after="0"/>
              <w:rPr>
                <w:sz w:val="20"/>
                <w:szCs w:val="20"/>
                <w:color w:val="auto"/>
              </w:rPr>
            </w:pPr>
            <w:r>
              <w:rPr>
                <w:rFonts w:ascii="Times New Roman" w:cs="Times New Roman" w:eastAsia="Times New Roman" w:hAnsi="Times New Roman"/>
                <w:sz w:val="17"/>
                <w:szCs w:val="17"/>
                <w:color w:val="auto"/>
              </w:rPr>
              <w:t>Accrued interest</w:t>
            </w:r>
          </w:p>
        </w:tc>
        <w:tc>
          <w:tcPr>
            <w:tcW w:w="300" w:type="dxa"/>
            <w:vAlign w:val="bottom"/>
            <w:shd w:val="clear" w:color="auto" w:fill="EAEAEA"/>
          </w:tcPr>
          <w:p>
            <w:pPr>
              <w:spacing w:after="0"/>
              <w:rPr>
                <w:sz w:val="18"/>
                <w:szCs w:val="18"/>
                <w:color w:val="auto"/>
              </w:rPr>
            </w:pPr>
          </w:p>
        </w:tc>
        <w:tc>
          <w:tcPr>
            <w:tcW w:w="10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300" w:type="dxa"/>
            <w:vAlign w:val="bottom"/>
            <w:shd w:val="clear" w:color="auto" w:fill="EAEAEA"/>
          </w:tcPr>
          <w:p>
            <w:pPr>
              <w:spacing w:after="0"/>
              <w:rPr>
                <w:sz w:val="18"/>
                <w:szCs w:val="18"/>
                <w:color w:val="auto"/>
              </w:rPr>
            </w:pPr>
          </w:p>
        </w:tc>
        <w:tc>
          <w:tcPr>
            <w:tcW w:w="1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Gift card liabilities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40" w:type="dxa"/>
            <w:vAlign w:val="bottom"/>
            <w:shd w:val="clear" w:color="auto" w:fill="EAEAEA"/>
          </w:tcPr>
          <w:p>
            <w:pPr>
              <w:ind w:left="80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300" w:type="dxa"/>
            <w:vAlign w:val="bottom"/>
            <w:shd w:val="clear" w:color="auto" w:fill="EAEAEA"/>
          </w:tcPr>
          <w:p>
            <w:pPr>
              <w:spacing w:after="0"/>
              <w:rPr>
                <w:sz w:val="18"/>
                <w:szCs w:val="18"/>
                <w:color w:val="auto"/>
              </w:rPr>
            </w:pPr>
          </w:p>
        </w:tc>
        <w:tc>
          <w:tcPr>
            <w:tcW w:w="10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2,125</w:t>
            </w:r>
          </w:p>
        </w:tc>
        <w:tc>
          <w:tcPr>
            <w:tcW w:w="8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300" w:type="dxa"/>
            <w:vAlign w:val="bottom"/>
            <w:shd w:val="clear" w:color="auto" w:fill="EAEAEA"/>
          </w:tcPr>
          <w:p>
            <w:pPr>
              <w:spacing w:after="0"/>
              <w:rPr>
                <w:sz w:val="18"/>
                <w:szCs w:val="18"/>
                <w:color w:val="auto"/>
              </w:rPr>
            </w:pPr>
          </w:p>
        </w:tc>
        <w:tc>
          <w:tcPr>
            <w:tcW w:w="1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8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(1,265)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(1,014)</w:t>
            </w:r>
          </w:p>
        </w:tc>
        <w:tc>
          <w:tcPr>
            <w:tcW w:w="0" w:type="dxa"/>
            <w:vAlign w:val="bottom"/>
          </w:tcPr>
          <w:p>
            <w:pPr>
              <w:spacing w:after="0"/>
              <w:rPr>
                <w:sz w:val="1"/>
                <w:szCs w:val="1"/>
                <w:color w:val="auto"/>
              </w:rPr>
            </w:pPr>
          </w:p>
        </w:tc>
      </w:tr>
      <w:tr>
        <w:trPr>
          <w:trHeight w:val="205"/>
        </w:trPr>
        <w:tc>
          <w:tcPr>
            <w:tcW w:w="6340" w:type="dxa"/>
            <w:vAlign w:val="bottom"/>
            <w:tcBorders>
              <w:top w:val="single" w:sz="8" w:color="EAEAEA"/>
            </w:tcBorders>
            <w:shd w:val="clear" w:color="auto" w:fill="EAEAEA"/>
          </w:tcPr>
          <w:p>
            <w:pPr>
              <w:ind w:left="100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00" w:type="dxa"/>
            <w:vAlign w:val="bottom"/>
            <w:tcBorders>
              <w:top w:val="single" w:sz="8" w:color="auto"/>
              <w:bottom w:val="single" w:sz="8" w:color="auto"/>
            </w:tcBorders>
            <w:shd w:val="clear" w:color="auto" w:fill="EAEAEA"/>
          </w:tcPr>
          <w:p>
            <w:pPr>
              <w:spacing w:after="0"/>
              <w:rPr>
                <w:sz w:val="17"/>
                <w:szCs w:val="17"/>
                <w:color w:val="auto"/>
              </w:rPr>
            </w:pPr>
          </w:p>
        </w:tc>
        <w:tc>
          <w:tcPr>
            <w:tcW w:w="106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3,414</w:t>
            </w:r>
          </w:p>
        </w:tc>
        <w:tc>
          <w:tcPr>
            <w:tcW w:w="80" w:type="dxa"/>
            <w:vAlign w:val="bottom"/>
            <w:tcBorders>
              <w:top w:val="single" w:sz="8" w:color="EAEAEA"/>
            </w:tcBorders>
            <w:shd w:val="clear" w:color="auto" w:fill="EAEAEA"/>
          </w:tcPr>
          <w:p>
            <w:pPr>
              <w:spacing w:after="0"/>
              <w:rPr>
                <w:sz w:val="17"/>
                <w:szCs w:val="17"/>
                <w:color w:val="auto"/>
              </w:rPr>
            </w:pPr>
          </w:p>
        </w:tc>
        <w:tc>
          <w:tcPr>
            <w:tcW w:w="160" w:type="dxa"/>
            <w:vAlign w:val="bottom"/>
            <w:tcBorders>
              <w:top w:val="single" w:sz="8" w:color="EAEAEA"/>
              <w:bottom w:val="single" w:sz="8" w:color="auto"/>
            </w:tcBorders>
            <w:shd w:val="clear" w:color="auto" w:fill="EAEAEA"/>
          </w:tcPr>
          <w:p>
            <w:pPr>
              <w:spacing w:after="0"/>
              <w:rPr>
                <w:sz w:val="17"/>
                <w:szCs w:val="17"/>
                <w:color w:val="auto"/>
              </w:rPr>
            </w:pPr>
          </w:p>
        </w:tc>
        <w:tc>
          <w:tcPr>
            <w:tcW w:w="300" w:type="dxa"/>
            <w:vAlign w:val="bottom"/>
            <w:tcBorders>
              <w:top w:val="single" w:sz="8" w:color="auto"/>
              <w:bottom w:val="single" w:sz="8" w:color="auto"/>
            </w:tcBorders>
            <w:shd w:val="clear" w:color="auto" w:fill="EAEAEA"/>
          </w:tcPr>
          <w:p>
            <w:pPr>
              <w:spacing w:after="0"/>
              <w:rPr>
                <w:sz w:val="17"/>
                <w:szCs w:val="17"/>
                <w:color w:val="auto"/>
              </w:rPr>
            </w:pPr>
          </w:p>
        </w:tc>
        <w:tc>
          <w:tcPr>
            <w:tcW w:w="104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17,827</w:t>
            </w:r>
          </w:p>
        </w:tc>
        <w:tc>
          <w:tcPr>
            <w:tcW w:w="80" w:type="dxa"/>
            <w:vAlign w:val="bottom"/>
            <w:tcBorders>
              <w:top w:val="single" w:sz="8" w:color="EAEAE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3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EAEAEA"/>
          </w:tcPr>
          <w:p>
            <w:pPr>
              <w:ind w:left="800"/>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300" w:type="dxa"/>
            <w:vAlign w:val="bottom"/>
            <w:shd w:val="clear" w:color="auto" w:fill="EAEAEA"/>
          </w:tcPr>
          <w:p>
            <w:pPr>
              <w:spacing w:after="0"/>
              <w:rPr>
                <w:sz w:val="18"/>
                <w:szCs w:val="18"/>
                <w:color w:val="auto"/>
              </w:rPr>
            </w:pPr>
          </w:p>
        </w:tc>
        <w:tc>
          <w:tcPr>
            <w:tcW w:w="114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17"/>
                <w:szCs w:val="17"/>
                <w:color w:val="auto"/>
              </w:rPr>
              <w:t>(27,734)</w:t>
            </w:r>
          </w:p>
        </w:tc>
        <w:tc>
          <w:tcPr>
            <w:tcW w:w="160" w:type="dxa"/>
            <w:vAlign w:val="bottom"/>
            <w:shd w:val="clear" w:color="auto" w:fill="EAEAEA"/>
          </w:tcPr>
          <w:p>
            <w:pPr>
              <w:spacing w:after="0"/>
              <w:rPr>
                <w:sz w:val="18"/>
                <w:szCs w:val="18"/>
                <w:color w:val="auto"/>
              </w:rPr>
            </w:pPr>
          </w:p>
        </w:tc>
        <w:tc>
          <w:tcPr>
            <w:tcW w:w="300" w:type="dxa"/>
            <w:vAlign w:val="bottom"/>
            <w:shd w:val="clear" w:color="auto" w:fill="EAEAEA"/>
          </w:tcPr>
          <w:p>
            <w:pPr>
              <w:spacing w:after="0"/>
              <w:rPr>
                <w:sz w:val="18"/>
                <w:szCs w:val="18"/>
                <w:color w:val="auto"/>
              </w:rPr>
            </w:pPr>
          </w:p>
        </w:tc>
        <w:tc>
          <w:tcPr>
            <w:tcW w:w="112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(23,825)</w:t>
            </w:r>
          </w:p>
        </w:tc>
        <w:tc>
          <w:tcPr>
            <w:tcW w:w="0" w:type="dxa"/>
            <w:vAlign w:val="bottom"/>
          </w:tcPr>
          <w:p>
            <w:pPr>
              <w:spacing w:after="0"/>
              <w:rPr>
                <w:sz w:val="1"/>
                <w:szCs w:val="1"/>
                <w:color w:val="auto"/>
              </w:rPr>
            </w:pPr>
          </w:p>
        </w:tc>
      </w:tr>
      <w:tr>
        <w:trPr>
          <w:trHeight w:val="209"/>
        </w:trPr>
        <w:tc>
          <w:tcPr>
            <w:tcW w:w="63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Acquisition of GKBH, net of cash acquired</w:t>
            </w:r>
          </w:p>
        </w:tc>
        <w:tc>
          <w:tcPr>
            <w:tcW w:w="30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(2,976)</w:t>
            </w:r>
          </w:p>
        </w:tc>
        <w:tc>
          <w:tcPr>
            <w:tcW w:w="0" w:type="dxa"/>
            <w:vAlign w:val="bottom"/>
          </w:tcPr>
          <w:p>
            <w:pPr>
              <w:spacing w:after="0"/>
              <w:rPr>
                <w:sz w:val="1"/>
                <w:szCs w:val="1"/>
                <w:color w:val="auto"/>
              </w:rPr>
            </w:pPr>
          </w:p>
        </w:tc>
      </w:tr>
      <w:tr>
        <w:trPr>
          <w:trHeight w:val="205"/>
        </w:trPr>
        <w:tc>
          <w:tcPr>
            <w:tcW w:w="6340" w:type="dxa"/>
            <w:vAlign w:val="bottom"/>
            <w:tcBorders>
              <w:top w:val="single" w:sz="8" w:color="EAEAEA"/>
            </w:tcBorders>
            <w:shd w:val="clear" w:color="auto" w:fill="EAEAEA"/>
          </w:tcPr>
          <w:p>
            <w:pPr>
              <w:ind w:left="100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00" w:type="dxa"/>
            <w:vAlign w:val="bottom"/>
            <w:tcBorders>
              <w:top w:val="single" w:sz="8" w:color="auto"/>
              <w:bottom w:val="single" w:sz="8" w:color="auto"/>
            </w:tcBorders>
            <w:shd w:val="clear" w:color="auto" w:fill="EAEAEA"/>
          </w:tcPr>
          <w:p>
            <w:pPr>
              <w:spacing w:after="0"/>
              <w:rPr>
                <w:sz w:val="17"/>
                <w:szCs w:val="17"/>
                <w:color w:val="auto"/>
              </w:rPr>
            </w:pPr>
          </w:p>
        </w:tc>
        <w:tc>
          <w:tcPr>
            <w:tcW w:w="106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(27,734)</w:t>
            </w:r>
          </w:p>
        </w:tc>
        <w:tc>
          <w:tcPr>
            <w:tcW w:w="80" w:type="dxa"/>
            <w:vAlign w:val="bottom"/>
            <w:tcBorders>
              <w:top w:val="single" w:sz="8" w:color="EAEAEA"/>
            </w:tcBorders>
            <w:shd w:val="clear" w:color="auto" w:fill="EAEAEA"/>
          </w:tcPr>
          <w:p>
            <w:pPr>
              <w:spacing w:after="0"/>
              <w:rPr>
                <w:sz w:val="17"/>
                <w:szCs w:val="17"/>
                <w:color w:val="auto"/>
              </w:rPr>
            </w:pPr>
          </w:p>
        </w:tc>
        <w:tc>
          <w:tcPr>
            <w:tcW w:w="160" w:type="dxa"/>
            <w:vAlign w:val="bottom"/>
            <w:tcBorders>
              <w:top w:val="single" w:sz="8" w:color="EAEAEA"/>
            </w:tcBorders>
            <w:shd w:val="clear" w:color="auto" w:fill="EAEAEA"/>
          </w:tcPr>
          <w:p>
            <w:pPr>
              <w:spacing w:after="0"/>
              <w:rPr>
                <w:sz w:val="17"/>
                <w:szCs w:val="17"/>
                <w:color w:val="auto"/>
              </w:rPr>
            </w:pPr>
          </w:p>
        </w:tc>
        <w:tc>
          <w:tcPr>
            <w:tcW w:w="300" w:type="dxa"/>
            <w:vAlign w:val="bottom"/>
            <w:tcBorders>
              <w:top w:val="single" w:sz="8" w:color="auto"/>
              <w:bottom w:val="single" w:sz="8" w:color="auto"/>
            </w:tcBorders>
            <w:shd w:val="clear" w:color="auto" w:fill="EAEAEA"/>
          </w:tcPr>
          <w:p>
            <w:pPr>
              <w:spacing w:after="0"/>
              <w:rPr>
                <w:sz w:val="17"/>
                <w:szCs w:val="17"/>
                <w:color w:val="auto"/>
              </w:rPr>
            </w:pPr>
          </w:p>
        </w:tc>
        <w:tc>
          <w:tcPr>
            <w:tcW w:w="104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(26,801</w:t>
            </w:r>
          </w:p>
        </w:tc>
        <w:tc>
          <w:tcPr>
            <w:tcW w:w="80" w:type="dxa"/>
            <w:vAlign w:val="bottom"/>
            <w:tcBorders>
              <w:top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AEAEA"/>
              </w:rPr>
              <w:t>)</w:t>
            </w:r>
          </w:p>
        </w:tc>
        <w:tc>
          <w:tcPr>
            <w:tcW w:w="0" w:type="dxa"/>
            <w:vAlign w:val="bottom"/>
          </w:tcPr>
          <w:p>
            <w:pPr>
              <w:spacing w:after="0"/>
              <w:rPr>
                <w:sz w:val="1"/>
                <w:szCs w:val="1"/>
                <w:color w:val="auto"/>
              </w:rPr>
            </w:pPr>
          </w:p>
        </w:tc>
      </w:tr>
      <w:tr>
        <w:trPr>
          <w:trHeight w:val="205"/>
        </w:trPr>
        <w:tc>
          <w:tcPr>
            <w:tcW w:w="63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EAEAEA"/>
          </w:tcPr>
          <w:p>
            <w:pPr>
              <w:ind w:left="800"/>
              <w:spacing w:after="0"/>
              <w:rPr>
                <w:sz w:val="20"/>
                <w:szCs w:val="20"/>
                <w:color w:val="auto"/>
              </w:rPr>
            </w:pPr>
            <w:r>
              <w:rPr>
                <w:rFonts w:ascii="Times New Roman" w:cs="Times New Roman" w:eastAsia="Times New Roman" w:hAnsi="Times New Roman"/>
                <w:sz w:val="17"/>
                <w:szCs w:val="17"/>
                <w:color w:val="auto"/>
              </w:rPr>
              <w:t>Payments to members for advances</w:t>
            </w:r>
          </w:p>
        </w:tc>
        <w:tc>
          <w:tcPr>
            <w:tcW w:w="300" w:type="dxa"/>
            <w:vAlign w:val="bottom"/>
            <w:shd w:val="clear" w:color="auto" w:fill="EAEAEA"/>
          </w:tcPr>
          <w:p>
            <w:pPr>
              <w:spacing w:after="0"/>
              <w:rPr>
                <w:sz w:val="18"/>
                <w:szCs w:val="18"/>
                <w:color w:val="auto"/>
              </w:rPr>
            </w:pPr>
          </w:p>
        </w:tc>
        <w:tc>
          <w:tcPr>
            <w:tcW w:w="1300" w:type="dxa"/>
            <w:vAlign w:val="bottom"/>
            <w:gridSpan w:val="3"/>
            <w:shd w:val="clear" w:color="auto" w:fill="EAEAEA"/>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EAEAEA"/>
          </w:tcPr>
          <w:p>
            <w:pPr>
              <w:spacing w:after="0"/>
              <w:rPr>
                <w:sz w:val="18"/>
                <w:szCs w:val="18"/>
                <w:color w:val="auto"/>
              </w:rPr>
            </w:pPr>
          </w:p>
        </w:tc>
        <w:tc>
          <w:tcPr>
            <w:tcW w:w="112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(881)</w:t>
            </w:r>
          </w:p>
        </w:tc>
        <w:tc>
          <w:tcPr>
            <w:tcW w:w="0" w:type="dxa"/>
            <w:vAlign w:val="bottom"/>
          </w:tcPr>
          <w:p>
            <w:pPr>
              <w:spacing w:after="0"/>
              <w:rPr>
                <w:sz w:val="1"/>
                <w:szCs w:val="1"/>
                <w:color w:val="auto"/>
              </w:rPr>
            </w:pPr>
          </w:p>
        </w:tc>
      </w:tr>
      <w:tr>
        <w:trPr>
          <w:trHeight w:val="210"/>
        </w:trPr>
        <w:tc>
          <w:tcPr>
            <w:tcW w:w="63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Payments on EIDL loans</w:t>
            </w: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09"/>
        </w:trPr>
        <w:tc>
          <w:tcPr>
            <w:tcW w:w="6340" w:type="dxa"/>
            <w:vAlign w:val="bottom"/>
            <w:shd w:val="clear" w:color="auto" w:fill="EAEAEA"/>
          </w:tcPr>
          <w:p>
            <w:pPr>
              <w:ind w:left="800"/>
              <w:spacing w:after="0"/>
              <w:rPr>
                <w:sz w:val="20"/>
                <w:szCs w:val="20"/>
                <w:color w:val="auto"/>
              </w:rPr>
            </w:pPr>
            <w:r>
              <w:rPr>
                <w:rFonts w:ascii="Times New Roman" w:cs="Times New Roman" w:eastAsia="Times New Roman" w:hAnsi="Times New Roman"/>
                <w:sz w:val="17"/>
                <w:szCs w:val="17"/>
                <w:color w:val="auto"/>
              </w:rPr>
              <w:t>Payments on finance leases</w:t>
            </w:r>
          </w:p>
        </w:tc>
        <w:tc>
          <w:tcPr>
            <w:tcW w:w="300" w:type="dxa"/>
            <w:vAlign w:val="bottom"/>
            <w:shd w:val="clear" w:color="auto" w:fill="EAEAEA"/>
          </w:tcPr>
          <w:p>
            <w:pPr>
              <w:spacing w:after="0"/>
              <w:rPr>
                <w:sz w:val="18"/>
                <w:szCs w:val="18"/>
                <w:color w:val="auto"/>
              </w:rPr>
            </w:pPr>
          </w:p>
        </w:tc>
        <w:tc>
          <w:tcPr>
            <w:tcW w:w="114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shd w:val="clear" w:color="auto" w:fill="EAEAEA"/>
          </w:tcPr>
          <w:p>
            <w:pPr>
              <w:spacing w:after="0"/>
              <w:rPr>
                <w:sz w:val="18"/>
                <w:szCs w:val="18"/>
                <w:color w:val="auto"/>
              </w:rPr>
            </w:pPr>
          </w:p>
        </w:tc>
        <w:tc>
          <w:tcPr>
            <w:tcW w:w="300" w:type="dxa"/>
            <w:vAlign w:val="bottom"/>
            <w:shd w:val="clear" w:color="auto" w:fill="EAEAEA"/>
          </w:tcPr>
          <w:p>
            <w:pPr>
              <w:spacing w:after="0"/>
              <w:rPr>
                <w:sz w:val="18"/>
                <w:szCs w:val="18"/>
                <w:color w:val="auto"/>
              </w:rPr>
            </w:pPr>
          </w:p>
        </w:tc>
        <w:tc>
          <w:tcPr>
            <w:tcW w:w="112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0"/>
        </w:trPr>
        <w:tc>
          <w:tcPr>
            <w:tcW w:w="63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Payments on third party loans</w:t>
            </w: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(3,159)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(3,770)</w:t>
            </w:r>
          </w:p>
        </w:tc>
        <w:tc>
          <w:tcPr>
            <w:tcW w:w="0" w:type="dxa"/>
            <w:vAlign w:val="bottom"/>
          </w:tcPr>
          <w:p>
            <w:pPr>
              <w:spacing w:after="0"/>
              <w:rPr>
                <w:sz w:val="1"/>
                <w:szCs w:val="1"/>
                <w:color w:val="auto"/>
              </w:rPr>
            </w:pPr>
          </w:p>
        </w:tc>
      </w:tr>
      <w:tr>
        <w:trPr>
          <w:trHeight w:val="210"/>
        </w:trPr>
        <w:tc>
          <w:tcPr>
            <w:tcW w:w="6340" w:type="dxa"/>
            <w:vAlign w:val="bottom"/>
            <w:shd w:val="clear" w:color="auto" w:fill="EAEAEA"/>
          </w:tcPr>
          <w:p>
            <w:pPr>
              <w:ind w:left="800"/>
              <w:spacing w:after="0"/>
              <w:rPr>
                <w:sz w:val="20"/>
                <w:szCs w:val="20"/>
                <w:color w:val="auto"/>
              </w:rPr>
            </w:pPr>
            <w:r>
              <w:rPr>
                <w:rFonts w:ascii="Times New Roman" w:cs="Times New Roman" w:eastAsia="Times New Roman" w:hAnsi="Times New Roman"/>
                <w:sz w:val="17"/>
                <w:szCs w:val="17"/>
                <w:color w:val="auto"/>
              </w:rPr>
              <w:t>Payments on related party loans</w:t>
            </w:r>
          </w:p>
        </w:tc>
        <w:tc>
          <w:tcPr>
            <w:tcW w:w="300" w:type="dxa"/>
            <w:vAlign w:val="bottom"/>
            <w:shd w:val="clear" w:color="auto" w:fill="EAEAEA"/>
          </w:tcPr>
          <w:p>
            <w:pPr>
              <w:spacing w:after="0"/>
              <w:rPr>
                <w:sz w:val="18"/>
                <w:szCs w:val="18"/>
                <w:color w:val="auto"/>
              </w:rPr>
            </w:pPr>
          </w:p>
        </w:tc>
        <w:tc>
          <w:tcPr>
            <w:tcW w:w="1300" w:type="dxa"/>
            <w:vAlign w:val="bottom"/>
            <w:gridSpan w:val="3"/>
            <w:shd w:val="clear" w:color="auto" w:fill="EAEAEA"/>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EAEAEA"/>
          </w:tcPr>
          <w:p>
            <w:pPr>
              <w:spacing w:after="0"/>
              <w:rPr>
                <w:sz w:val="18"/>
                <w:szCs w:val="18"/>
                <w:color w:val="auto"/>
              </w:rPr>
            </w:pPr>
          </w:p>
        </w:tc>
        <w:tc>
          <w:tcPr>
            <w:tcW w:w="112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0" w:type="dxa"/>
            <w:vAlign w:val="bottom"/>
          </w:tcPr>
          <w:p>
            <w:pPr>
              <w:spacing w:after="0"/>
              <w:rPr>
                <w:sz w:val="1"/>
                <w:szCs w:val="1"/>
                <w:color w:val="auto"/>
              </w:rPr>
            </w:pPr>
          </w:p>
        </w:tc>
      </w:tr>
      <w:tr>
        <w:trPr>
          <w:trHeight w:val="210"/>
        </w:trPr>
        <w:tc>
          <w:tcPr>
            <w:tcW w:w="63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Payment on line of credit</w:t>
            </w: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(11,000)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6340" w:type="dxa"/>
            <w:vAlign w:val="bottom"/>
            <w:shd w:val="clear" w:color="auto" w:fill="EAEAEA"/>
          </w:tcPr>
          <w:p>
            <w:pPr>
              <w:ind w:left="800"/>
              <w:spacing w:after="0"/>
              <w:rPr>
                <w:sz w:val="20"/>
                <w:szCs w:val="20"/>
                <w:color w:val="auto"/>
              </w:rPr>
            </w:pPr>
            <w:r>
              <w:rPr>
                <w:rFonts w:ascii="Times New Roman" w:cs="Times New Roman" w:eastAsia="Times New Roman" w:hAnsi="Times New Roman"/>
                <w:sz w:val="17"/>
                <w:szCs w:val="17"/>
                <w:color w:val="auto"/>
              </w:rPr>
              <w:t>Proceeds from line of credit</w:t>
            </w:r>
          </w:p>
        </w:tc>
        <w:tc>
          <w:tcPr>
            <w:tcW w:w="300" w:type="dxa"/>
            <w:vAlign w:val="bottom"/>
            <w:shd w:val="clear" w:color="auto" w:fill="EAEAEA"/>
          </w:tcPr>
          <w:p>
            <w:pPr>
              <w:spacing w:after="0"/>
              <w:rPr>
                <w:sz w:val="18"/>
                <w:szCs w:val="18"/>
                <w:color w:val="auto"/>
              </w:rPr>
            </w:pPr>
          </w:p>
        </w:tc>
        <w:tc>
          <w:tcPr>
            <w:tcW w:w="10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9,000</w:t>
            </w:r>
          </w:p>
        </w:tc>
        <w:tc>
          <w:tcPr>
            <w:tcW w:w="8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300" w:type="dxa"/>
            <w:vAlign w:val="bottom"/>
            <w:shd w:val="clear" w:color="auto" w:fill="EAEAEA"/>
          </w:tcPr>
          <w:p>
            <w:pPr>
              <w:spacing w:after="0"/>
              <w:rPr>
                <w:sz w:val="18"/>
                <w:szCs w:val="18"/>
                <w:color w:val="auto"/>
              </w:rPr>
            </w:pPr>
          </w:p>
        </w:tc>
        <w:tc>
          <w:tcPr>
            <w:tcW w:w="1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8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Proceeds from third party loans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EAEAEA"/>
          </w:tcPr>
          <w:p>
            <w:pPr>
              <w:ind w:left="800"/>
              <w:spacing w:after="0"/>
              <w:rPr>
                <w:sz w:val="20"/>
                <w:szCs w:val="20"/>
                <w:color w:val="auto"/>
              </w:rPr>
            </w:pPr>
            <w:r>
              <w:rPr>
                <w:rFonts w:ascii="Times New Roman" w:cs="Times New Roman" w:eastAsia="Times New Roman" w:hAnsi="Times New Roman"/>
                <w:sz w:val="17"/>
                <w:szCs w:val="17"/>
                <w:color w:val="auto"/>
              </w:rPr>
              <w:t>Payments under stock repurchase plan</w:t>
            </w:r>
          </w:p>
        </w:tc>
        <w:tc>
          <w:tcPr>
            <w:tcW w:w="300" w:type="dxa"/>
            <w:vAlign w:val="bottom"/>
            <w:shd w:val="clear" w:color="auto" w:fill="EAEAEA"/>
          </w:tcPr>
          <w:p>
            <w:pPr>
              <w:spacing w:after="0"/>
              <w:rPr>
                <w:sz w:val="18"/>
                <w:szCs w:val="18"/>
                <w:color w:val="auto"/>
              </w:rPr>
            </w:pPr>
          </w:p>
        </w:tc>
        <w:tc>
          <w:tcPr>
            <w:tcW w:w="114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17"/>
                <w:szCs w:val="17"/>
                <w:color w:val="auto"/>
              </w:rPr>
              <w:t>(201)</w:t>
            </w:r>
          </w:p>
        </w:tc>
        <w:tc>
          <w:tcPr>
            <w:tcW w:w="160" w:type="dxa"/>
            <w:vAlign w:val="bottom"/>
            <w:shd w:val="clear" w:color="auto" w:fill="EAEAEA"/>
          </w:tcPr>
          <w:p>
            <w:pPr>
              <w:spacing w:after="0"/>
              <w:rPr>
                <w:sz w:val="18"/>
                <w:szCs w:val="18"/>
                <w:color w:val="auto"/>
              </w:rPr>
            </w:pPr>
          </w:p>
        </w:tc>
        <w:tc>
          <w:tcPr>
            <w:tcW w:w="300" w:type="dxa"/>
            <w:vAlign w:val="bottom"/>
            <w:shd w:val="clear" w:color="auto" w:fill="EAEAEA"/>
          </w:tcPr>
          <w:p>
            <w:pPr>
              <w:spacing w:after="0"/>
              <w:rPr>
                <w:sz w:val="18"/>
                <w:szCs w:val="18"/>
                <w:color w:val="auto"/>
              </w:rPr>
            </w:pPr>
          </w:p>
        </w:tc>
        <w:tc>
          <w:tcPr>
            <w:tcW w:w="112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63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Distributions paid on NCI</w:t>
            </w: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(830)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0" w:type="dxa"/>
            <w:vAlign w:val="bottom"/>
          </w:tcPr>
          <w:p>
            <w:pPr>
              <w:spacing w:after="0"/>
              <w:rPr>
                <w:sz w:val="1"/>
                <w:szCs w:val="1"/>
                <w:color w:val="auto"/>
              </w:rPr>
            </w:pPr>
          </w:p>
        </w:tc>
      </w:tr>
      <w:tr>
        <w:trPr>
          <w:trHeight w:val="210"/>
        </w:trPr>
        <w:tc>
          <w:tcPr>
            <w:tcW w:w="6340" w:type="dxa"/>
            <w:vAlign w:val="bottom"/>
            <w:shd w:val="clear" w:color="auto" w:fill="EAEAEA"/>
          </w:tcPr>
          <w:p>
            <w:pPr>
              <w:ind w:left="800"/>
              <w:spacing w:after="0"/>
              <w:rPr>
                <w:sz w:val="20"/>
                <w:szCs w:val="20"/>
                <w:color w:val="auto"/>
              </w:rPr>
            </w:pPr>
            <w:r>
              <w:rPr>
                <w:rFonts w:ascii="Times New Roman" w:cs="Times New Roman" w:eastAsia="Times New Roman" w:hAnsi="Times New Roman"/>
                <w:sz w:val="17"/>
                <w:szCs w:val="17"/>
                <w:color w:val="auto"/>
              </w:rPr>
              <w:t>Dividends paid on common stock</w:t>
            </w:r>
          </w:p>
        </w:tc>
        <w:tc>
          <w:tcPr>
            <w:tcW w:w="300" w:type="dxa"/>
            <w:vAlign w:val="bottom"/>
            <w:shd w:val="clear" w:color="auto" w:fill="EAEAEA"/>
          </w:tcPr>
          <w:p>
            <w:pPr>
              <w:spacing w:after="0"/>
              <w:rPr>
                <w:sz w:val="18"/>
                <w:szCs w:val="18"/>
                <w:color w:val="auto"/>
              </w:rPr>
            </w:pPr>
          </w:p>
        </w:tc>
        <w:tc>
          <w:tcPr>
            <w:tcW w:w="114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17"/>
                <w:szCs w:val="17"/>
                <w:color w:val="auto"/>
              </w:rPr>
              <w:t>(157)</w:t>
            </w:r>
          </w:p>
        </w:tc>
        <w:tc>
          <w:tcPr>
            <w:tcW w:w="160" w:type="dxa"/>
            <w:vAlign w:val="bottom"/>
            <w:shd w:val="clear" w:color="auto" w:fill="EAEAEA"/>
          </w:tcPr>
          <w:p>
            <w:pPr>
              <w:spacing w:after="0"/>
              <w:rPr>
                <w:sz w:val="18"/>
                <w:szCs w:val="18"/>
                <w:color w:val="auto"/>
              </w:rPr>
            </w:pPr>
          </w:p>
        </w:tc>
        <w:tc>
          <w:tcPr>
            <w:tcW w:w="300" w:type="dxa"/>
            <w:vAlign w:val="bottom"/>
            <w:shd w:val="clear" w:color="auto" w:fill="EAEAEA"/>
          </w:tcPr>
          <w:p>
            <w:pPr>
              <w:spacing w:after="0"/>
              <w:rPr>
                <w:sz w:val="18"/>
                <w:szCs w:val="18"/>
                <w:color w:val="auto"/>
              </w:rPr>
            </w:pPr>
          </w:p>
        </w:tc>
        <w:tc>
          <w:tcPr>
            <w:tcW w:w="112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63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Acquisition of common stock for tax with withholding obligations</w:t>
            </w: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6340" w:type="dxa"/>
            <w:vAlign w:val="bottom"/>
            <w:tcBorders>
              <w:top w:val="single" w:sz="8" w:color="EAEAEA"/>
            </w:tcBorders>
            <w:shd w:val="clear" w:color="auto" w:fill="EAEAEA"/>
          </w:tcPr>
          <w:p>
            <w:pPr>
              <w:ind w:left="1200"/>
              <w:spacing w:after="0"/>
              <w:rPr>
                <w:sz w:val="20"/>
                <w:szCs w:val="20"/>
                <w:color w:val="auto"/>
              </w:rPr>
            </w:pPr>
            <w:r>
              <w:rPr>
                <w:rFonts w:ascii="Times New Roman" w:cs="Times New Roman" w:eastAsia="Times New Roman" w:hAnsi="Times New Roman"/>
                <w:sz w:val="17"/>
                <w:szCs w:val="17"/>
                <w:color w:val="auto"/>
              </w:rPr>
              <w:t>Net provided by financing activities</w:t>
            </w:r>
          </w:p>
        </w:tc>
        <w:tc>
          <w:tcPr>
            <w:tcW w:w="300" w:type="dxa"/>
            <w:vAlign w:val="bottom"/>
            <w:tcBorders>
              <w:top w:val="single" w:sz="8" w:color="auto"/>
              <w:bottom w:val="single" w:sz="8" w:color="auto"/>
            </w:tcBorders>
            <w:shd w:val="clear" w:color="auto" w:fill="EAEAEA"/>
          </w:tcPr>
          <w:p>
            <w:pPr>
              <w:spacing w:after="0"/>
              <w:rPr>
                <w:sz w:val="17"/>
                <w:szCs w:val="17"/>
                <w:color w:val="auto"/>
              </w:rPr>
            </w:pPr>
          </w:p>
        </w:tc>
        <w:tc>
          <w:tcPr>
            <w:tcW w:w="106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3,462</w:t>
            </w:r>
          </w:p>
        </w:tc>
        <w:tc>
          <w:tcPr>
            <w:tcW w:w="80" w:type="dxa"/>
            <w:vAlign w:val="bottom"/>
            <w:tcBorders>
              <w:top w:val="single" w:sz="8" w:color="EAEAEA"/>
            </w:tcBorders>
            <w:shd w:val="clear" w:color="auto" w:fill="EAEAEA"/>
          </w:tcPr>
          <w:p>
            <w:pPr>
              <w:spacing w:after="0"/>
              <w:rPr>
                <w:sz w:val="17"/>
                <w:szCs w:val="17"/>
                <w:color w:val="auto"/>
              </w:rPr>
            </w:pPr>
          </w:p>
        </w:tc>
        <w:tc>
          <w:tcPr>
            <w:tcW w:w="160" w:type="dxa"/>
            <w:vAlign w:val="bottom"/>
            <w:tcBorders>
              <w:top w:val="single" w:sz="8" w:color="EAEAEA"/>
            </w:tcBorders>
            <w:shd w:val="clear" w:color="auto" w:fill="EAEAEA"/>
          </w:tcPr>
          <w:p>
            <w:pPr>
              <w:spacing w:after="0"/>
              <w:rPr>
                <w:sz w:val="17"/>
                <w:szCs w:val="17"/>
                <w:color w:val="auto"/>
              </w:rPr>
            </w:pPr>
          </w:p>
        </w:tc>
        <w:tc>
          <w:tcPr>
            <w:tcW w:w="300" w:type="dxa"/>
            <w:vAlign w:val="bottom"/>
            <w:tcBorders>
              <w:top w:val="single" w:sz="8" w:color="auto"/>
              <w:bottom w:val="single" w:sz="8" w:color="auto"/>
            </w:tcBorders>
            <w:shd w:val="clear" w:color="auto" w:fill="EAEAEA"/>
          </w:tcPr>
          <w:p>
            <w:pPr>
              <w:spacing w:after="0"/>
              <w:rPr>
                <w:sz w:val="17"/>
                <w:szCs w:val="17"/>
                <w:color w:val="auto"/>
              </w:rPr>
            </w:pPr>
          </w:p>
        </w:tc>
        <w:tc>
          <w:tcPr>
            <w:tcW w:w="104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Borders>
              <w:top w:val="single" w:sz="8" w:color="EAEAE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3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Effects of exchange rate changes on cash</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340" w:type="dxa"/>
            <w:vAlign w:val="bottom"/>
            <w:shd w:val="clear" w:color="auto" w:fill="EAEAEA"/>
          </w:tcPr>
          <w:p>
            <w:pPr>
              <w:spacing w:after="0"/>
              <w:rPr>
                <w:sz w:val="20"/>
                <w:szCs w:val="20"/>
                <w:color w:val="auto"/>
              </w:rPr>
            </w:pPr>
            <w:r>
              <w:rPr>
                <w:rFonts w:ascii="Times New Roman" w:cs="Times New Roman" w:eastAsia="Times New Roman" w:hAnsi="Times New Roman"/>
                <w:sz w:val="17"/>
                <w:szCs w:val="17"/>
                <w:b w:val="1"/>
                <w:bCs w:val="1"/>
                <w:color w:val="auto"/>
              </w:rPr>
              <w:t>Net change in cash and cash equivalents</w:t>
            </w:r>
          </w:p>
        </w:tc>
        <w:tc>
          <w:tcPr>
            <w:tcW w:w="300" w:type="dxa"/>
            <w:vAlign w:val="bottom"/>
            <w:shd w:val="clear" w:color="auto" w:fill="EAEAEA"/>
          </w:tcPr>
          <w:p>
            <w:pPr>
              <w:spacing w:after="0"/>
              <w:rPr>
                <w:sz w:val="18"/>
                <w:szCs w:val="18"/>
                <w:color w:val="auto"/>
              </w:rPr>
            </w:pPr>
          </w:p>
        </w:tc>
        <w:tc>
          <w:tcPr>
            <w:tcW w:w="114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17"/>
                <w:szCs w:val="17"/>
                <w:color w:val="auto"/>
              </w:rPr>
              <w:t>(20,851)</w:t>
            </w:r>
          </w:p>
        </w:tc>
        <w:tc>
          <w:tcPr>
            <w:tcW w:w="160" w:type="dxa"/>
            <w:vAlign w:val="bottom"/>
            <w:shd w:val="clear" w:color="auto" w:fill="EAEAEA"/>
          </w:tcPr>
          <w:p>
            <w:pPr>
              <w:spacing w:after="0"/>
              <w:rPr>
                <w:sz w:val="18"/>
                <w:szCs w:val="18"/>
                <w:color w:val="auto"/>
              </w:rPr>
            </w:pPr>
          </w:p>
        </w:tc>
        <w:tc>
          <w:tcPr>
            <w:tcW w:w="300" w:type="dxa"/>
            <w:vAlign w:val="bottom"/>
            <w:shd w:val="clear" w:color="auto" w:fill="EAEAEA"/>
          </w:tcPr>
          <w:p>
            <w:pPr>
              <w:spacing w:after="0"/>
              <w:rPr>
                <w:sz w:val="18"/>
                <w:szCs w:val="18"/>
                <w:color w:val="auto"/>
              </w:rPr>
            </w:pPr>
          </w:p>
        </w:tc>
        <w:tc>
          <w:tcPr>
            <w:tcW w:w="112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(8,956)</w:t>
            </w:r>
          </w:p>
        </w:tc>
        <w:tc>
          <w:tcPr>
            <w:tcW w:w="0" w:type="dxa"/>
            <w:vAlign w:val="bottom"/>
          </w:tcPr>
          <w:p>
            <w:pPr>
              <w:spacing w:after="0"/>
              <w:rPr>
                <w:sz w:val="1"/>
                <w:szCs w:val="1"/>
                <w:color w:val="auto"/>
              </w:rPr>
            </w:pPr>
          </w:p>
        </w:tc>
      </w:tr>
      <w:tr>
        <w:trPr>
          <w:trHeight w:val="210"/>
        </w:trPr>
        <w:tc>
          <w:tcPr>
            <w:tcW w:w="634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23,675</w:t>
            </w:r>
          </w:p>
        </w:tc>
        <w:tc>
          <w:tcPr>
            <w:tcW w:w="80" w:type="dxa"/>
            <w:vAlign w:val="bottom"/>
            <w:tcBorders>
              <w:bottom w:val="single" w:sz="8" w:color="EAEAEA"/>
            </w:tcBorders>
          </w:tcPr>
          <w:p>
            <w:pPr>
              <w:spacing w:after="0"/>
              <w:rPr>
                <w:sz w:val="18"/>
                <w:szCs w:val="18"/>
                <w:color w:val="auto"/>
              </w:rPr>
            </w:pPr>
          </w:p>
        </w:tc>
        <w:tc>
          <w:tcPr>
            <w:tcW w:w="160" w:type="dxa"/>
            <w:vAlign w:val="bottom"/>
            <w:tcBorders>
              <w:bottom w:val="single" w:sz="8" w:color="EAEAEA"/>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32,631</w:t>
            </w:r>
          </w:p>
        </w:tc>
        <w:tc>
          <w:tcPr>
            <w:tcW w:w="80" w:type="dxa"/>
            <w:vAlign w:val="bottom"/>
            <w:tcBorders>
              <w:bottom w:val="single" w:sz="8" w:color="EAEAEA"/>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340" w:type="dxa"/>
            <w:vAlign w:val="bottom"/>
            <w:shd w:val="clear" w:color="auto" w:fill="EAEAEA"/>
          </w:tcPr>
          <w:p>
            <w:pPr>
              <w:spacing w:after="0"/>
              <w:rPr>
                <w:sz w:val="20"/>
                <w:szCs w:val="20"/>
                <w:color w:val="auto"/>
              </w:rPr>
            </w:pPr>
            <w:r>
              <w:rPr>
                <w:rFonts w:ascii="Times New Roman" w:cs="Times New Roman" w:eastAsia="Times New Roman" w:hAnsi="Times New Roman"/>
                <w:sz w:val="17"/>
                <w:szCs w:val="17"/>
                <w:color w:val="auto"/>
              </w:rPr>
              <w:t>Cash and cash equivalents at end of the period</w:t>
            </w:r>
          </w:p>
        </w:tc>
        <w:tc>
          <w:tcPr>
            <w:tcW w:w="300" w:type="dxa"/>
            <w:vAlign w:val="bottom"/>
            <w:tcBorders>
              <w:bottom w:val="single" w:sz="8" w:color="auto"/>
            </w:tcBorders>
            <w:shd w:val="clear" w:color="auto" w:fill="EAEAEA"/>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2,824</w:t>
            </w:r>
          </w:p>
        </w:tc>
        <w:tc>
          <w:tcPr>
            <w:tcW w:w="80" w:type="dxa"/>
            <w:vAlign w:val="bottom"/>
            <w:shd w:val="clear" w:color="auto" w:fill="EAEAEA"/>
          </w:tcPr>
          <w:p>
            <w:pPr>
              <w:spacing w:after="0"/>
              <w:rPr>
                <w:sz w:val="17"/>
                <w:szCs w:val="17"/>
                <w:color w:val="auto"/>
              </w:rPr>
            </w:pPr>
          </w:p>
        </w:tc>
        <w:tc>
          <w:tcPr>
            <w:tcW w:w="160" w:type="dxa"/>
            <w:vAlign w:val="bottom"/>
            <w:shd w:val="clear" w:color="auto" w:fill="EAEAEA"/>
          </w:tcPr>
          <w:p>
            <w:pPr>
              <w:spacing w:after="0"/>
              <w:rPr>
                <w:sz w:val="17"/>
                <w:szCs w:val="17"/>
                <w:color w:val="auto"/>
              </w:rPr>
            </w:pPr>
          </w:p>
        </w:tc>
        <w:tc>
          <w:tcPr>
            <w:tcW w:w="300" w:type="dxa"/>
            <w:vAlign w:val="bottom"/>
            <w:tcBorders>
              <w:bottom w:val="single" w:sz="8" w:color="auto"/>
            </w:tcBorders>
            <w:shd w:val="clear" w:color="auto" w:fill="EAEAEA"/>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23,675</w:t>
            </w:r>
          </w:p>
        </w:tc>
        <w:tc>
          <w:tcPr>
            <w:tcW w:w="8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disclosures of other cash flow information:</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EAEAEA"/>
          </w:tcPr>
          <w:p>
            <w:pPr>
              <w:ind w:left="400"/>
              <w:spacing w:after="0"/>
              <w:rPr>
                <w:sz w:val="20"/>
                <w:szCs w:val="20"/>
                <w:color w:val="auto"/>
              </w:rPr>
            </w:pPr>
            <w:r>
              <w:rPr>
                <w:rFonts w:ascii="Times New Roman" w:cs="Times New Roman" w:eastAsia="Times New Roman" w:hAnsi="Times New Roman"/>
                <w:sz w:val="17"/>
                <w:szCs w:val="17"/>
                <w:color w:val="auto"/>
              </w:rPr>
              <w:t>Cash paid for interest</w:t>
            </w:r>
          </w:p>
        </w:tc>
        <w:tc>
          <w:tcPr>
            <w:tcW w:w="300" w:type="dxa"/>
            <w:vAlign w:val="bottom"/>
            <w:shd w:val="clear" w:color="auto" w:fill="EAEAEA"/>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8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300" w:type="dxa"/>
            <w:vAlign w:val="bottom"/>
            <w:shd w:val="clear" w:color="auto" w:fill="EAEAEA"/>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8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Cash paid for taxes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EAEAEA"/>
          </w:tcPr>
          <w:p>
            <w:pPr>
              <w:spacing w:after="0"/>
              <w:rPr>
                <w:sz w:val="20"/>
                <w:szCs w:val="20"/>
                <w:color w:val="auto"/>
              </w:rPr>
            </w:pPr>
            <w:r>
              <w:rPr>
                <w:rFonts w:ascii="Times New Roman" w:cs="Times New Roman" w:eastAsia="Times New Roman" w:hAnsi="Times New Roman"/>
                <w:sz w:val="17"/>
                <w:szCs w:val="17"/>
                <w:b w:val="1"/>
                <w:bCs w:val="1"/>
                <w:color w:val="auto"/>
              </w:rPr>
              <w:t>Non-cash investing and financing activities:</w:t>
            </w:r>
          </w:p>
        </w:tc>
        <w:tc>
          <w:tcPr>
            <w:tcW w:w="300" w:type="dxa"/>
            <w:vAlign w:val="bottom"/>
            <w:shd w:val="clear" w:color="auto" w:fill="EAEAEA"/>
          </w:tcPr>
          <w:p>
            <w:pPr>
              <w:spacing w:after="0"/>
              <w:rPr>
                <w:sz w:val="18"/>
                <w:szCs w:val="18"/>
                <w:color w:val="auto"/>
              </w:rPr>
            </w:pPr>
          </w:p>
        </w:tc>
        <w:tc>
          <w:tcPr>
            <w:tcW w:w="106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300" w:type="dxa"/>
            <w:vAlign w:val="bottom"/>
            <w:shd w:val="clear" w:color="auto" w:fill="EAEAEA"/>
          </w:tcPr>
          <w:p>
            <w:pPr>
              <w:spacing w:after="0"/>
              <w:rPr>
                <w:sz w:val="18"/>
                <w:szCs w:val="18"/>
                <w:color w:val="auto"/>
              </w:rPr>
            </w:pPr>
          </w:p>
        </w:tc>
        <w:tc>
          <w:tcPr>
            <w:tcW w:w="10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Reduction in accounts payable and accruals for purchases of property and equipment</w:t>
            </w: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17"/>
                <w:szCs w:val="17"/>
                <w:color w:val="auto"/>
              </w:rPr>
              <w:t>Leased assets obtained in exchange for new operating lease liabilities</w:t>
            </w:r>
          </w:p>
        </w:tc>
        <w:tc>
          <w:tcPr>
            <w:tcW w:w="300" w:type="dxa"/>
            <w:vAlign w:val="bottom"/>
            <w:shd w:val="clear" w:color="auto" w:fill="EAEAEA"/>
          </w:tcPr>
          <w:p>
            <w:pPr>
              <w:spacing w:after="0"/>
              <w:rPr>
                <w:sz w:val="18"/>
                <w:szCs w:val="18"/>
                <w:color w:val="auto"/>
              </w:rPr>
            </w:pPr>
          </w:p>
        </w:tc>
        <w:tc>
          <w:tcPr>
            <w:tcW w:w="10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21,609</w:t>
            </w:r>
          </w:p>
        </w:tc>
        <w:tc>
          <w:tcPr>
            <w:tcW w:w="8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300" w:type="dxa"/>
            <w:vAlign w:val="bottom"/>
            <w:shd w:val="clear" w:color="auto" w:fill="EAEAEA"/>
          </w:tcPr>
          <w:p>
            <w:pPr>
              <w:spacing w:after="0"/>
              <w:rPr>
                <w:sz w:val="18"/>
                <w:szCs w:val="18"/>
                <w:color w:val="auto"/>
              </w:rPr>
            </w:pPr>
          </w:p>
        </w:tc>
        <w:tc>
          <w:tcPr>
            <w:tcW w:w="1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39,229</w:t>
            </w:r>
          </w:p>
        </w:tc>
        <w:tc>
          <w:tcPr>
            <w:tcW w:w="8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Reduction due to early lease termination of operating lease asset</w:t>
            </w: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(1,007)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634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17"/>
                <w:szCs w:val="17"/>
                <w:color w:val="auto"/>
              </w:rPr>
              <w:t>Conversion of related party loans to equity</w:t>
            </w:r>
          </w:p>
        </w:tc>
        <w:tc>
          <w:tcPr>
            <w:tcW w:w="300" w:type="dxa"/>
            <w:vAlign w:val="bottom"/>
            <w:shd w:val="clear" w:color="auto" w:fill="EAEAEA"/>
          </w:tcPr>
          <w:p>
            <w:pPr>
              <w:spacing w:after="0"/>
              <w:rPr>
                <w:sz w:val="18"/>
                <w:szCs w:val="18"/>
                <w:color w:val="auto"/>
              </w:rPr>
            </w:pPr>
          </w:p>
        </w:tc>
        <w:tc>
          <w:tcPr>
            <w:tcW w:w="1300" w:type="dxa"/>
            <w:vAlign w:val="bottom"/>
            <w:gridSpan w:val="3"/>
            <w:shd w:val="clear" w:color="auto" w:fill="EAEAEA"/>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EAEAEA"/>
          </w:tcPr>
          <w:p>
            <w:pPr>
              <w:spacing w:after="0"/>
              <w:rPr>
                <w:sz w:val="18"/>
                <w:szCs w:val="18"/>
                <w:color w:val="auto"/>
              </w:rPr>
            </w:pPr>
          </w:p>
        </w:tc>
        <w:tc>
          <w:tcPr>
            <w:tcW w:w="1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1,436</w:t>
            </w:r>
          </w:p>
        </w:tc>
        <w:tc>
          <w:tcPr>
            <w:tcW w:w="8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Issuance of promissory note for business acquisition</w:t>
            </w:r>
          </w:p>
        </w:tc>
        <w:tc>
          <w:tcPr>
            <w:tcW w:w="30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4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17"/>
                <w:szCs w:val="17"/>
                <w:color w:val="auto"/>
              </w:rPr>
              <w:t>Adjustments to tax liabilities and assets under TRA</w:t>
            </w:r>
          </w:p>
        </w:tc>
        <w:tc>
          <w:tcPr>
            <w:tcW w:w="300" w:type="dxa"/>
            <w:vAlign w:val="bottom"/>
            <w:shd w:val="clear" w:color="auto" w:fill="EAEAEA"/>
          </w:tcPr>
          <w:p>
            <w:pPr>
              <w:spacing w:after="0"/>
              <w:rPr>
                <w:sz w:val="18"/>
                <w:szCs w:val="18"/>
                <w:color w:val="auto"/>
              </w:rPr>
            </w:pPr>
          </w:p>
        </w:tc>
        <w:tc>
          <w:tcPr>
            <w:tcW w:w="10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300" w:type="dxa"/>
            <w:vAlign w:val="bottom"/>
            <w:shd w:val="clear" w:color="auto" w:fill="EAEAEA"/>
          </w:tcPr>
          <w:p>
            <w:pPr>
              <w:spacing w:after="0"/>
              <w:rPr>
                <w:sz w:val="18"/>
                <w:szCs w:val="18"/>
                <w:color w:val="auto"/>
              </w:rPr>
            </w:pPr>
          </w:p>
        </w:tc>
        <w:tc>
          <w:tcPr>
            <w:tcW w:w="112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6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Exchange of NCI for Class A common stock</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634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17"/>
                <w:szCs w:val="17"/>
                <w:color w:val="auto"/>
              </w:rPr>
              <w:t>Contribution by stockholder in final IPO settlement</w:t>
            </w:r>
          </w:p>
        </w:tc>
        <w:tc>
          <w:tcPr>
            <w:tcW w:w="300" w:type="dxa"/>
            <w:vAlign w:val="bottom"/>
            <w:shd w:val="clear" w:color="auto" w:fill="EAEAEA"/>
          </w:tcPr>
          <w:p>
            <w:pPr>
              <w:spacing w:after="0"/>
              <w:rPr>
                <w:sz w:val="18"/>
                <w:szCs w:val="18"/>
                <w:color w:val="auto"/>
              </w:rPr>
            </w:pPr>
          </w:p>
        </w:tc>
        <w:tc>
          <w:tcPr>
            <w:tcW w:w="1300" w:type="dxa"/>
            <w:vAlign w:val="bottom"/>
            <w:gridSpan w:val="3"/>
            <w:shd w:val="clear" w:color="auto" w:fill="EAEAEA"/>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EAEAEA"/>
          </w:tcPr>
          <w:p>
            <w:pPr>
              <w:spacing w:after="0"/>
              <w:rPr>
                <w:sz w:val="18"/>
                <w:szCs w:val="18"/>
                <w:color w:val="auto"/>
              </w:rPr>
            </w:pPr>
          </w:p>
        </w:tc>
        <w:tc>
          <w:tcPr>
            <w:tcW w:w="1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1,277</w:t>
            </w:r>
          </w:p>
        </w:tc>
        <w:tc>
          <w:tcPr>
            <w:tcW w:w="8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4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9540"/>
          </w:cols>
          <w:pgMar w:left="1260" w:top="519" w:right="1440" w:bottom="355" w:gutter="0" w:footer="0" w:header="0"/>
        </w:sectPr>
      </w:pPr>
    </w:p>
    <w:bookmarkStart w:id="74" w:name="page75"/>
    <w:bookmarkEnd w:id="74"/>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GEN RESTAURANT GROUP, INC.</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Notes to Consolidated Financial Statements</w:t>
      </w: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December 31, 2025 and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Organization and Description of Business</w:t>
      </w:r>
    </w:p>
    <w:p>
      <w:pPr>
        <w:spacing w:after="0" w:line="32" w:lineRule="exact"/>
        <w:rPr>
          <w:sz w:val="20"/>
          <w:szCs w:val="20"/>
          <w:color w:val="auto"/>
        </w:rPr>
      </w:pPr>
    </w:p>
    <w:p>
      <w:pPr>
        <w:ind w:right="320" w:firstLine="490"/>
        <w:spacing w:after="0" w:line="242" w:lineRule="auto"/>
        <w:rPr>
          <w:sz w:val="20"/>
          <w:szCs w:val="20"/>
          <w:color w:val="auto"/>
        </w:rPr>
      </w:pPr>
      <w:r>
        <w:rPr>
          <w:rFonts w:ascii="Times New Roman" w:cs="Times New Roman" w:eastAsia="Times New Roman" w:hAnsi="Times New Roman"/>
          <w:sz w:val="20"/>
          <w:szCs w:val="20"/>
          <w:color w:val="auto"/>
        </w:rPr>
        <w:t>The accompanying consolidated financial statements represent the consolidated balance sheets, statements of operations, changes in permanent equity (deficit), and cash flows of GEN Restaurant Group, Inc., and its consolidated subsidiaries (the “Company”), including GEN Restaurant Companies, LLC (the “Operating Company”).</w:t>
      </w:r>
    </w:p>
    <w:p>
      <w:pPr>
        <w:spacing w:after="0" w:line="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auto"/>
        </w:rPr>
        <w:t>The following tables lists the Company’s entities in operation as of December 31, 2025:</w:t>
      </w:r>
    </w:p>
    <w:p>
      <w:pPr>
        <w:spacing w:after="0" w:line="251" w:lineRule="exact"/>
        <w:rPr>
          <w:sz w:val="20"/>
          <w:szCs w:val="20"/>
          <w:color w:val="auto"/>
        </w:rPr>
      </w:pPr>
    </w:p>
    <w:tbl>
      <w:tblPr>
        <w:tblLayout w:type="fixed"/>
        <w:tblInd w:w="460" w:type="dxa"/>
        <w:tblCellMar>
          <w:top w:w="0" w:type="dxa"/>
          <w:left w:w="0" w:type="dxa"/>
          <w:bottom w:w="0" w:type="dxa"/>
          <w:right w:w="0" w:type="dxa"/>
        </w:tblCellMar>
      </w:tblPr>
      <w:tr>
        <w:trPr>
          <w:trHeight w:val="177"/>
        </w:trPr>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Borders>
              <w:bottom w:val="single" w:sz="8" w:color="EAEAEA"/>
            </w:tcBorders>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Operating Name</w:t>
            </w:r>
          </w:p>
        </w:tc>
        <w:tc>
          <w:tcPr>
            <w:tcW w:w="140" w:type="dxa"/>
            <w:vAlign w:val="bottom"/>
            <w:tcBorders>
              <w:bottom w:val="single" w:sz="8" w:color="EAEAEA"/>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State</w:t>
            </w:r>
          </w:p>
        </w:tc>
        <w:tc>
          <w:tcPr>
            <w:tcW w:w="120" w:type="dxa"/>
            <w:vAlign w:val="bottom"/>
            <w:tcBorders>
              <w:bottom w:val="single" w:sz="8" w:color="EAEAEA"/>
            </w:tcBorders>
          </w:tcPr>
          <w:p>
            <w:pPr>
              <w:spacing w:after="0"/>
              <w:rPr>
                <w:sz w:val="15"/>
                <w:szCs w:val="15"/>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Purpose</w:t>
            </w:r>
          </w:p>
        </w:tc>
      </w:tr>
      <w:tr>
        <w:trPr>
          <w:trHeight w:val="193"/>
        </w:trPr>
        <w:tc>
          <w:tcPr>
            <w:tcW w:w="26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GEN Restaurant Group, LLC</w:t>
            </w:r>
          </w:p>
        </w:tc>
        <w:tc>
          <w:tcPr>
            <w:tcW w:w="240" w:type="dxa"/>
            <w:vAlign w:val="bottom"/>
            <w:shd w:val="clear" w:color="auto" w:fill="EAEAEA"/>
          </w:tcPr>
          <w:p>
            <w:pPr>
              <w:spacing w:after="0"/>
              <w:rPr>
                <w:sz w:val="16"/>
                <w:szCs w:val="16"/>
                <w:color w:val="auto"/>
              </w:rPr>
            </w:pPr>
          </w:p>
        </w:tc>
        <w:tc>
          <w:tcPr>
            <w:tcW w:w="2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GEN Tustin</w:t>
            </w:r>
          </w:p>
        </w:tc>
        <w:tc>
          <w:tcPr>
            <w:tcW w:w="140" w:type="dxa"/>
            <w:vAlign w:val="bottom"/>
            <w:shd w:val="clear" w:color="auto" w:fill="EAEAEA"/>
          </w:tcPr>
          <w:p>
            <w:pPr>
              <w:spacing w:after="0"/>
              <w:rPr>
                <w:sz w:val="16"/>
                <w:szCs w:val="16"/>
                <w:color w:val="auto"/>
              </w:rPr>
            </w:pPr>
          </w:p>
        </w:tc>
        <w:tc>
          <w:tcPr>
            <w:tcW w:w="1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8"/>
              </w:rPr>
              <w:t>CA</w:t>
            </w:r>
          </w:p>
        </w:tc>
        <w:tc>
          <w:tcPr>
            <w:tcW w:w="120" w:type="dxa"/>
            <w:vAlign w:val="bottom"/>
            <w:shd w:val="clear" w:color="auto" w:fill="EAEAEA"/>
          </w:tcPr>
          <w:p>
            <w:pPr>
              <w:spacing w:after="0"/>
              <w:rPr>
                <w:sz w:val="16"/>
                <w:szCs w:val="16"/>
                <w:color w:val="auto"/>
              </w:rPr>
            </w:pPr>
          </w:p>
        </w:tc>
        <w:tc>
          <w:tcPr>
            <w:tcW w:w="22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GEN Huntington Beach</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CA</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shd w:val="clear" w:color="auto" w:fill="EAEAEA"/>
          </w:tcPr>
          <w:p>
            <w:pPr>
              <w:spacing w:after="0"/>
              <w:rPr>
                <w:sz w:val="17"/>
                <w:szCs w:val="17"/>
                <w:color w:val="auto"/>
              </w:rPr>
            </w:pPr>
          </w:p>
        </w:tc>
        <w:tc>
          <w:tcPr>
            <w:tcW w:w="240" w:type="dxa"/>
            <w:vAlign w:val="bottom"/>
            <w:shd w:val="clear" w:color="auto" w:fill="EAEAEA"/>
          </w:tcPr>
          <w:p>
            <w:pPr>
              <w:spacing w:after="0"/>
              <w:rPr>
                <w:sz w:val="17"/>
                <w:szCs w:val="17"/>
                <w:color w:val="auto"/>
              </w:rPr>
            </w:pPr>
          </w:p>
        </w:tc>
        <w:tc>
          <w:tcPr>
            <w:tcW w:w="2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8"/>
              </w:rPr>
              <w:t>GEN Oxnard</w:t>
            </w:r>
          </w:p>
        </w:tc>
        <w:tc>
          <w:tcPr>
            <w:tcW w:w="140" w:type="dxa"/>
            <w:vAlign w:val="bottom"/>
            <w:shd w:val="clear" w:color="auto" w:fill="EAEAEA"/>
          </w:tcPr>
          <w:p>
            <w:pPr>
              <w:spacing w:after="0"/>
              <w:rPr>
                <w:sz w:val="17"/>
                <w:szCs w:val="17"/>
                <w:color w:val="auto"/>
              </w:rPr>
            </w:pPr>
          </w:p>
        </w:tc>
        <w:tc>
          <w:tcPr>
            <w:tcW w:w="1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8"/>
              </w:rPr>
              <w:t>CA</w:t>
            </w:r>
          </w:p>
        </w:tc>
        <w:tc>
          <w:tcPr>
            <w:tcW w:w="120" w:type="dxa"/>
            <w:vAlign w:val="bottom"/>
            <w:shd w:val="clear" w:color="auto" w:fill="EAEAEA"/>
          </w:tcPr>
          <w:p>
            <w:pPr>
              <w:spacing w:after="0"/>
              <w:rPr>
                <w:sz w:val="17"/>
                <w:szCs w:val="17"/>
                <w:color w:val="auto"/>
              </w:rPr>
            </w:pPr>
          </w:p>
        </w:tc>
        <w:tc>
          <w:tcPr>
            <w:tcW w:w="22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JC Group International Inc. (S Corp)</w:t>
            </w:r>
          </w:p>
        </w:tc>
        <w:tc>
          <w:tcPr>
            <w:tcW w:w="2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GEN West Covina</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CA</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shd w:val="clear" w:color="auto" w:fill="EAEAEA"/>
          </w:tcPr>
          <w:p>
            <w:pPr>
              <w:spacing w:after="0"/>
              <w:rPr>
                <w:sz w:val="17"/>
                <w:szCs w:val="17"/>
                <w:color w:val="auto"/>
              </w:rPr>
            </w:pPr>
          </w:p>
        </w:tc>
        <w:tc>
          <w:tcPr>
            <w:tcW w:w="240" w:type="dxa"/>
            <w:vAlign w:val="bottom"/>
            <w:shd w:val="clear" w:color="auto" w:fill="EAEAEA"/>
          </w:tcPr>
          <w:p>
            <w:pPr>
              <w:spacing w:after="0"/>
              <w:rPr>
                <w:sz w:val="17"/>
                <w:szCs w:val="17"/>
                <w:color w:val="auto"/>
              </w:rPr>
            </w:pPr>
          </w:p>
        </w:tc>
        <w:tc>
          <w:tcPr>
            <w:tcW w:w="2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GEN Corona</w:t>
            </w:r>
          </w:p>
        </w:tc>
        <w:tc>
          <w:tcPr>
            <w:tcW w:w="140" w:type="dxa"/>
            <w:vAlign w:val="bottom"/>
            <w:shd w:val="clear" w:color="auto" w:fill="EAEAEA"/>
          </w:tcPr>
          <w:p>
            <w:pPr>
              <w:spacing w:after="0"/>
              <w:rPr>
                <w:sz w:val="17"/>
                <w:szCs w:val="17"/>
                <w:color w:val="auto"/>
              </w:rPr>
            </w:pPr>
          </w:p>
        </w:tc>
        <w:tc>
          <w:tcPr>
            <w:tcW w:w="1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8"/>
              </w:rPr>
              <w:t>CA</w:t>
            </w:r>
          </w:p>
        </w:tc>
        <w:tc>
          <w:tcPr>
            <w:tcW w:w="120" w:type="dxa"/>
            <w:vAlign w:val="bottom"/>
            <w:shd w:val="clear" w:color="auto" w:fill="EAEAEA"/>
          </w:tcPr>
          <w:p>
            <w:pPr>
              <w:spacing w:after="0"/>
              <w:rPr>
                <w:sz w:val="17"/>
                <w:szCs w:val="17"/>
                <w:color w:val="auto"/>
              </w:rPr>
            </w:pPr>
          </w:p>
        </w:tc>
        <w:tc>
          <w:tcPr>
            <w:tcW w:w="22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GEN Restaurant Investment, LLC</w:t>
            </w:r>
          </w:p>
        </w:tc>
        <w:tc>
          <w:tcPr>
            <w:tcW w:w="2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GEN Glendale</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CA</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GEN California, LLC</w:t>
            </w:r>
          </w:p>
        </w:tc>
        <w:tc>
          <w:tcPr>
            <w:tcW w:w="240" w:type="dxa"/>
            <w:vAlign w:val="bottom"/>
            <w:shd w:val="clear" w:color="auto" w:fill="EAEAEA"/>
          </w:tcPr>
          <w:p>
            <w:pPr>
              <w:spacing w:after="0"/>
              <w:rPr>
                <w:sz w:val="17"/>
                <w:szCs w:val="17"/>
                <w:color w:val="auto"/>
              </w:rPr>
            </w:pPr>
          </w:p>
        </w:tc>
        <w:tc>
          <w:tcPr>
            <w:tcW w:w="2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GEN Fullerton</w:t>
            </w:r>
          </w:p>
        </w:tc>
        <w:tc>
          <w:tcPr>
            <w:tcW w:w="140" w:type="dxa"/>
            <w:vAlign w:val="bottom"/>
            <w:shd w:val="clear" w:color="auto" w:fill="EAEAEA"/>
          </w:tcPr>
          <w:p>
            <w:pPr>
              <w:spacing w:after="0"/>
              <w:rPr>
                <w:sz w:val="17"/>
                <w:szCs w:val="17"/>
                <w:color w:val="auto"/>
              </w:rPr>
            </w:pPr>
          </w:p>
        </w:tc>
        <w:tc>
          <w:tcPr>
            <w:tcW w:w="1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8"/>
              </w:rPr>
              <w:t>CA</w:t>
            </w:r>
          </w:p>
        </w:tc>
        <w:tc>
          <w:tcPr>
            <w:tcW w:w="120" w:type="dxa"/>
            <w:vAlign w:val="bottom"/>
            <w:shd w:val="clear" w:color="auto" w:fill="EAEAEA"/>
          </w:tcPr>
          <w:p>
            <w:pPr>
              <w:spacing w:after="0"/>
              <w:rPr>
                <w:sz w:val="17"/>
                <w:szCs w:val="17"/>
                <w:color w:val="auto"/>
              </w:rPr>
            </w:pPr>
          </w:p>
        </w:tc>
        <w:tc>
          <w:tcPr>
            <w:tcW w:w="22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GEN Mira Mesa</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CA</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GEN Arizona, LLC</w:t>
            </w:r>
          </w:p>
        </w:tc>
        <w:tc>
          <w:tcPr>
            <w:tcW w:w="240" w:type="dxa"/>
            <w:vAlign w:val="bottom"/>
            <w:shd w:val="clear" w:color="auto" w:fill="EAEAEA"/>
          </w:tcPr>
          <w:p>
            <w:pPr>
              <w:spacing w:after="0"/>
              <w:rPr>
                <w:sz w:val="17"/>
                <w:szCs w:val="17"/>
                <w:color w:val="auto"/>
              </w:rPr>
            </w:pPr>
          </w:p>
        </w:tc>
        <w:tc>
          <w:tcPr>
            <w:tcW w:w="2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8"/>
              </w:rPr>
              <w:t>GEN Tempe</w:t>
            </w:r>
          </w:p>
        </w:tc>
        <w:tc>
          <w:tcPr>
            <w:tcW w:w="140" w:type="dxa"/>
            <w:vAlign w:val="bottom"/>
            <w:shd w:val="clear" w:color="auto" w:fill="EAEAEA"/>
          </w:tcPr>
          <w:p>
            <w:pPr>
              <w:spacing w:after="0"/>
              <w:rPr>
                <w:sz w:val="17"/>
                <w:szCs w:val="17"/>
                <w:color w:val="auto"/>
              </w:rPr>
            </w:pPr>
          </w:p>
        </w:tc>
        <w:tc>
          <w:tcPr>
            <w:tcW w:w="1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AZ</w:t>
            </w:r>
          </w:p>
        </w:tc>
        <w:tc>
          <w:tcPr>
            <w:tcW w:w="120" w:type="dxa"/>
            <w:vAlign w:val="bottom"/>
            <w:shd w:val="clear" w:color="auto" w:fill="EAEAEA"/>
          </w:tcPr>
          <w:p>
            <w:pPr>
              <w:spacing w:after="0"/>
              <w:rPr>
                <w:sz w:val="17"/>
                <w:szCs w:val="17"/>
                <w:color w:val="auto"/>
              </w:rPr>
            </w:pPr>
          </w:p>
        </w:tc>
        <w:tc>
          <w:tcPr>
            <w:tcW w:w="22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GEN Chandler, LLC</w:t>
            </w:r>
          </w:p>
        </w:tc>
        <w:tc>
          <w:tcPr>
            <w:tcW w:w="2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GEN Chandler</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AZ</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GEN Nevada, LLC</w:t>
            </w:r>
          </w:p>
        </w:tc>
        <w:tc>
          <w:tcPr>
            <w:tcW w:w="240" w:type="dxa"/>
            <w:vAlign w:val="bottom"/>
            <w:shd w:val="clear" w:color="auto" w:fill="EAEAEA"/>
          </w:tcPr>
          <w:p>
            <w:pPr>
              <w:spacing w:after="0"/>
              <w:rPr>
                <w:sz w:val="17"/>
                <w:szCs w:val="17"/>
                <w:color w:val="auto"/>
              </w:rPr>
            </w:pPr>
          </w:p>
        </w:tc>
        <w:tc>
          <w:tcPr>
            <w:tcW w:w="2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GEN Sahara</w:t>
            </w:r>
          </w:p>
        </w:tc>
        <w:tc>
          <w:tcPr>
            <w:tcW w:w="140" w:type="dxa"/>
            <w:vAlign w:val="bottom"/>
            <w:shd w:val="clear" w:color="auto" w:fill="EAEAEA"/>
          </w:tcPr>
          <w:p>
            <w:pPr>
              <w:spacing w:after="0"/>
              <w:rPr>
                <w:sz w:val="17"/>
                <w:szCs w:val="17"/>
                <w:color w:val="auto"/>
              </w:rPr>
            </w:pPr>
          </w:p>
        </w:tc>
        <w:tc>
          <w:tcPr>
            <w:tcW w:w="1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5"/>
              </w:rPr>
              <w:t>NV</w:t>
            </w:r>
          </w:p>
        </w:tc>
        <w:tc>
          <w:tcPr>
            <w:tcW w:w="120" w:type="dxa"/>
            <w:vAlign w:val="bottom"/>
            <w:shd w:val="clear" w:color="auto" w:fill="EAEAEA"/>
          </w:tcPr>
          <w:p>
            <w:pPr>
              <w:spacing w:after="0"/>
              <w:rPr>
                <w:sz w:val="17"/>
                <w:szCs w:val="17"/>
                <w:color w:val="auto"/>
              </w:rPr>
            </w:pPr>
          </w:p>
        </w:tc>
        <w:tc>
          <w:tcPr>
            <w:tcW w:w="22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GEN Miracle Mile</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NV</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GEN Alhambra, LLC</w:t>
            </w:r>
          </w:p>
        </w:tc>
        <w:tc>
          <w:tcPr>
            <w:tcW w:w="240" w:type="dxa"/>
            <w:vAlign w:val="bottom"/>
            <w:shd w:val="clear" w:color="auto" w:fill="EAEAEA"/>
          </w:tcPr>
          <w:p>
            <w:pPr>
              <w:spacing w:after="0"/>
              <w:rPr>
                <w:sz w:val="17"/>
                <w:szCs w:val="17"/>
                <w:color w:val="auto"/>
              </w:rPr>
            </w:pPr>
          </w:p>
        </w:tc>
        <w:tc>
          <w:tcPr>
            <w:tcW w:w="2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GEN Alhambra</w:t>
            </w:r>
          </w:p>
        </w:tc>
        <w:tc>
          <w:tcPr>
            <w:tcW w:w="140" w:type="dxa"/>
            <w:vAlign w:val="bottom"/>
            <w:shd w:val="clear" w:color="auto" w:fill="EAEAEA"/>
          </w:tcPr>
          <w:p>
            <w:pPr>
              <w:spacing w:after="0"/>
              <w:rPr>
                <w:sz w:val="17"/>
                <w:szCs w:val="17"/>
                <w:color w:val="auto"/>
              </w:rPr>
            </w:pPr>
          </w:p>
        </w:tc>
        <w:tc>
          <w:tcPr>
            <w:tcW w:w="1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8"/>
              </w:rPr>
              <w:t>CA</w:t>
            </w:r>
          </w:p>
        </w:tc>
        <w:tc>
          <w:tcPr>
            <w:tcW w:w="120" w:type="dxa"/>
            <w:vAlign w:val="bottom"/>
            <w:shd w:val="clear" w:color="auto" w:fill="EAEAEA"/>
          </w:tcPr>
          <w:p>
            <w:pPr>
              <w:spacing w:after="0"/>
              <w:rPr>
                <w:sz w:val="17"/>
                <w:szCs w:val="17"/>
                <w:color w:val="auto"/>
              </w:rPr>
            </w:pPr>
          </w:p>
        </w:tc>
        <w:tc>
          <w:tcPr>
            <w:tcW w:w="22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GEN Arlington, LP</w:t>
            </w:r>
          </w:p>
        </w:tc>
        <w:tc>
          <w:tcPr>
            <w:tcW w:w="2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GEN Arlington</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TX</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GEN Cerritos, LLC</w:t>
            </w:r>
          </w:p>
        </w:tc>
        <w:tc>
          <w:tcPr>
            <w:tcW w:w="240" w:type="dxa"/>
            <w:vAlign w:val="bottom"/>
            <w:shd w:val="clear" w:color="auto" w:fill="EAEAEA"/>
          </w:tcPr>
          <w:p>
            <w:pPr>
              <w:spacing w:after="0"/>
              <w:rPr>
                <w:sz w:val="17"/>
                <w:szCs w:val="17"/>
                <w:color w:val="auto"/>
              </w:rPr>
            </w:pPr>
          </w:p>
        </w:tc>
        <w:tc>
          <w:tcPr>
            <w:tcW w:w="2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GEN Cerritos</w:t>
            </w:r>
          </w:p>
        </w:tc>
        <w:tc>
          <w:tcPr>
            <w:tcW w:w="140" w:type="dxa"/>
            <w:vAlign w:val="bottom"/>
            <w:shd w:val="clear" w:color="auto" w:fill="EAEAEA"/>
          </w:tcPr>
          <w:p>
            <w:pPr>
              <w:spacing w:after="0"/>
              <w:rPr>
                <w:sz w:val="17"/>
                <w:szCs w:val="17"/>
                <w:color w:val="auto"/>
              </w:rPr>
            </w:pPr>
          </w:p>
        </w:tc>
        <w:tc>
          <w:tcPr>
            <w:tcW w:w="1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8"/>
              </w:rPr>
              <w:t>CA</w:t>
            </w:r>
          </w:p>
        </w:tc>
        <w:tc>
          <w:tcPr>
            <w:tcW w:w="120" w:type="dxa"/>
            <w:vAlign w:val="bottom"/>
            <w:shd w:val="clear" w:color="auto" w:fill="EAEAEA"/>
          </w:tcPr>
          <w:p>
            <w:pPr>
              <w:spacing w:after="0"/>
              <w:rPr>
                <w:sz w:val="17"/>
                <w:szCs w:val="17"/>
                <w:color w:val="auto"/>
              </w:rPr>
            </w:pPr>
          </w:p>
        </w:tc>
        <w:tc>
          <w:tcPr>
            <w:tcW w:w="22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GEN Cerritos II, LP</w:t>
            </w:r>
          </w:p>
        </w:tc>
        <w:tc>
          <w:tcPr>
            <w:tcW w:w="2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Gen Cerritos II</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CA</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GEN Torrance, LLC</w:t>
            </w:r>
          </w:p>
        </w:tc>
        <w:tc>
          <w:tcPr>
            <w:tcW w:w="240" w:type="dxa"/>
            <w:vAlign w:val="bottom"/>
            <w:shd w:val="clear" w:color="auto" w:fill="EAEAEA"/>
          </w:tcPr>
          <w:p>
            <w:pPr>
              <w:spacing w:after="0"/>
              <w:rPr>
                <w:sz w:val="17"/>
                <w:szCs w:val="17"/>
                <w:color w:val="auto"/>
              </w:rPr>
            </w:pPr>
          </w:p>
        </w:tc>
        <w:tc>
          <w:tcPr>
            <w:tcW w:w="2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GEN Torrance</w:t>
            </w:r>
          </w:p>
        </w:tc>
        <w:tc>
          <w:tcPr>
            <w:tcW w:w="140" w:type="dxa"/>
            <w:vAlign w:val="bottom"/>
            <w:shd w:val="clear" w:color="auto" w:fill="EAEAEA"/>
          </w:tcPr>
          <w:p>
            <w:pPr>
              <w:spacing w:after="0"/>
              <w:rPr>
                <w:sz w:val="17"/>
                <w:szCs w:val="17"/>
                <w:color w:val="auto"/>
              </w:rPr>
            </w:pPr>
          </w:p>
        </w:tc>
        <w:tc>
          <w:tcPr>
            <w:tcW w:w="1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8"/>
              </w:rPr>
              <w:t>CA</w:t>
            </w:r>
          </w:p>
        </w:tc>
        <w:tc>
          <w:tcPr>
            <w:tcW w:w="120" w:type="dxa"/>
            <w:vAlign w:val="bottom"/>
            <w:shd w:val="clear" w:color="auto" w:fill="EAEAEA"/>
          </w:tcPr>
          <w:p>
            <w:pPr>
              <w:spacing w:after="0"/>
              <w:rPr>
                <w:sz w:val="17"/>
                <w:szCs w:val="17"/>
                <w:color w:val="auto"/>
              </w:rPr>
            </w:pPr>
          </w:p>
        </w:tc>
        <w:tc>
          <w:tcPr>
            <w:tcW w:w="22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GEN Rancho Cucamonga, LP</w:t>
            </w:r>
          </w:p>
        </w:tc>
        <w:tc>
          <w:tcPr>
            <w:tcW w:w="2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GEN Rancho Cucamonga</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CA</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GEN San Jose, LP</w:t>
            </w:r>
          </w:p>
        </w:tc>
        <w:tc>
          <w:tcPr>
            <w:tcW w:w="240" w:type="dxa"/>
            <w:vAlign w:val="bottom"/>
            <w:shd w:val="clear" w:color="auto" w:fill="EAEAEA"/>
          </w:tcPr>
          <w:p>
            <w:pPr>
              <w:spacing w:after="0"/>
              <w:rPr>
                <w:sz w:val="17"/>
                <w:szCs w:val="17"/>
                <w:color w:val="auto"/>
              </w:rPr>
            </w:pPr>
          </w:p>
        </w:tc>
        <w:tc>
          <w:tcPr>
            <w:tcW w:w="2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GEN San Jose</w:t>
            </w:r>
          </w:p>
        </w:tc>
        <w:tc>
          <w:tcPr>
            <w:tcW w:w="140" w:type="dxa"/>
            <w:vAlign w:val="bottom"/>
            <w:shd w:val="clear" w:color="auto" w:fill="EAEAEA"/>
          </w:tcPr>
          <w:p>
            <w:pPr>
              <w:spacing w:after="0"/>
              <w:rPr>
                <w:sz w:val="17"/>
                <w:szCs w:val="17"/>
                <w:color w:val="auto"/>
              </w:rPr>
            </w:pPr>
          </w:p>
        </w:tc>
        <w:tc>
          <w:tcPr>
            <w:tcW w:w="1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8"/>
              </w:rPr>
              <w:t>CA</w:t>
            </w:r>
          </w:p>
        </w:tc>
        <w:tc>
          <w:tcPr>
            <w:tcW w:w="120" w:type="dxa"/>
            <w:vAlign w:val="bottom"/>
            <w:shd w:val="clear" w:color="auto" w:fill="EAEAEA"/>
          </w:tcPr>
          <w:p>
            <w:pPr>
              <w:spacing w:after="0"/>
              <w:rPr>
                <w:sz w:val="17"/>
                <w:szCs w:val="17"/>
                <w:color w:val="auto"/>
              </w:rPr>
            </w:pPr>
          </w:p>
        </w:tc>
        <w:tc>
          <w:tcPr>
            <w:tcW w:w="22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GEN Northridge, LP</w:t>
            </w:r>
          </w:p>
        </w:tc>
        <w:tc>
          <w:tcPr>
            <w:tcW w:w="2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GEN Northridge</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CA</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8"/>
              </w:rPr>
              <w:t>GEN Chino Hills, LP</w:t>
            </w:r>
          </w:p>
        </w:tc>
        <w:tc>
          <w:tcPr>
            <w:tcW w:w="240" w:type="dxa"/>
            <w:vAlign w:val="bottom"/>
            <w:shd w:val="clear" w:color="auto" w:fill="EAEAEA"/>
          </w:tcPr>
          <w:p>
            <w:pPr>
              <w:spacing w:after="0"/>
              <w:rPr>
                <w:sz w:val="17"/>
                <w:szCs w:val="17"/>
                <w:color w:val="auto"/>
              </w:rPr>
            </w:pPr>
          </w:p>
        </w:tc>
        <w:tc>
          <w:tcPr>
            <w:tcW w:w="2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GEN Chino Hills</w:t>
            </w:r>
          </w:p>
        </w:tc>
        <w:tc>
          <w:tcPr>
            <w:tcW w:w="140" w:type="dxa"/>
            <w:vAlign w:val="bottom"/>
            <w:shd w:val="clear" w:color="auto" w:fill="EAEAEA"/>
          </w:tcPr>
          <w:p>
            <w:pPr>
              <w:spacing w:after="0"/>
              <w:rPr>
                <w:sz w:val="17"/>
                <w:szCs w:val="17"/>
                <w:color w:val="auto"/>
              </w:rPr>
            </w:pPr>
          </w:p>
        </w:tc>
        <w:tc>
          <w:tcPr>
            <w:tcW w:w="1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8"/>
              </w:rPr>
              <w:t>CA</w:t>
            </w:r>
          </w:p>
        </w:tc>
        <w:tc>
          <w:tcPr>
            <w:tcW w:w="120" w:type="dxa"/>
            <w:vAlign w:val="bottom"/>
            <w:shd w:val="clear" w:color="auto" w:fill="EAEAEA"/>
          </w:tcPr>
          <w:p>
            <w:pPr>
              <w:spacing w:after="0"/>
              <w:rPr>
                <w:sz w:val="17"/>
                <w:szCs w:val="17"/>
                <w:color w:val="auto"/>
              </w:rPr>
            </w:pPr>
          </w:p>
        </w:tc>
        <w:tc>
          <w:tcPr>
            <w:tcW w:w="22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GEN Carrollton, LP</w:t>
            </w:r>
          </w:p>
        </w:tc>
        <w:tc>
          <w:tcPr>
            <w:tcW w:w="2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GEN Carrollton</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TX</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GEN Fort Lauderdale, LP</w:t>
            </w:r>
          </w:p>
        </w:tc>
        <w:tc>
          <w:tcPr>
            <w:tcW w:w="240" w:type="dxa"/>
            <w:vAlign w:val="bottom"/>
            <w:shd w:val="clear" w:color="auto" w:fill="EAEAEA"/>
          </w:tcPr>
          <w:p>
            <w:pPr>
              <w:spacing w:after="0"/>
              <w:rPr>
                <w:sz w:val="17"/>
                <w:szCs w:val="17"/>
                <w:color w:val="auto"/>
              </w:rPr>
            </w:pPr>
          </w:p>
        </w:tc>
        <w:tc>
          <w:tcPr>
            <w:tcW w:w="2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GEN Fort Lauderdale</w:t>
            </w:r>
          </w:p>
        </w:tc>
        <w:tc>
          <w:tcPr>
            <w:tcW w:w="140" w:type="dxa"/>
            <w:vAlign w:val="bottom"/>
            <w:shd w:val="clear" w:color="auto" w:fill="EAEAEA"/>
          </w:tcPr>
          <w:p>
            <w:pPr>
              <w:spacing w:after="0"/>
              <w:rPr>
                <w:sz w:val="17"/>
                <w:szCs w:val="17"/>
                <w:color w:val="auto"/>
              </w:rPr>
            </w:pPr>
          </w:p>
        </w:tc>
        <w:tc>
          <w:tcPr>
            <w:tcW w:w="1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6"/>
              </w:rPr>
              <w:t>FL</w:t>
            </w:r>
          </w:p>
        </w:tc>
        <w:tc>
          <w:tcPr>
            <w:tcW w:w="120" w:type="dxa"/>
            <w:vAlign w:val="bottom"/>
            <w:shd w:val="clear" w:color="auto" w:fill="EAEAEA"/>
          </w:tcPr>
          <w:p>
            <w:pPr>
              <w:spacing w:after="0"/>
              <w:rPr>
                <w:sz w:val="17"/>
                <w:szCs w:val="17"/>
                <w:color w:val="auto"/>
              </w:rPr>
            </w:pPr>
          </w:p>
        </w:tc>
        <w:tc>
          <w:tcPr>
            <w:tcW w:w="22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GEN Fremont, LP</w:t>
            </w:r>
          </w:p>
        </w:tc>
        <w:tc>
          <w:tcPr>
            <w:tcW w:w="2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GEN Fremont</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CA</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GEN Concord, LP</w:t>
            </w:r>
          </w:p>
        </w:tc>
        <w:tc>
          <w:tcPr>
            <w:tcW w:w="240" w:type="dxa"/>
            <w:vAlign w:val="bottom"/>
            <w:shd w:val="clear" w:color="auto" w:fill="EAEAEA"/>
          </w:tcPr>
          <w:p>
            <w:pPr>
              <w:spacing w:after="0"/>
              <w:rPr>
                <w:sz w:val="17"/>
                <w:szCs w:val="17"/>
                <w:color w:val="auto"/>
              </w:rPr>
            </w:pPr>
          </w:p>
        </w:tc>
        <w:tc>
          <w:tcPr>
            <w:tcW w:w="2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GEN Concord</w:t>
            </w:r>
          </w:p>
        </w:tc>
        <w:tc>
          <w:tcPr>
            <w:tcW w:w="140" w:type="dxa"/>
            <w:vAlign w:val="bottom"/>
            <w:shd w:val="clear" w:color="auto" w:fill="EAEAEA"/>
          </w:tcPr>
          <w:p>
            <w:pPr>
              <w:spacing w:after="0"/>
              <w:rPr>
                <w:sz w:val="17"/>
                <w:szCs w:val="17"/>
                <w:color w:val="auto"/>
              </w:rPr>
            </w:pPr>
          </w:p>
        </w:tc>
        <w:tc>
          <w:tcPr>
            <w:tcW w:w="1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8"/>
              </w:rPr>
              <w:t>CA</w:t>
            </w:r>
          </w:p>
        </w:tc>
        <w:tc>
          <w:tcPr>
            <w:tcW w:w="120" w:type="dxa"/>
            <w:vAlign w:val="bottom"/>
            <w:shd w:val="clear" w:color="auto" w:fill="EAEAEA"/>
          </w:tcPr>
          <w:p>
            <w:pPr>
              <w:spacing w:after="0"/>
              <w:rPr>
                <w:sz w:val="17"/>
                <w:szCs w:val="17"/>
                <w:color w:val="auto"/>
              </w:rPr>
            </w:pPr>
          </w:p>
        </w:tc>
        <w:tc>
          <w:tcPr>
            <w:tcW w:w="22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GEN Webster, LP</w:t>
            </w:r>
          </w:p>
        </w:tc>
        <w:tc>
          <w:tcPr>
            <w:tcW w:w="2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GEN Webster</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TX</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GEN Westgate, LP</w:t>
            </w:r>
          </w:p>
        </w:tc>
        <w:tc>
          <w:tcPr>
            <w:tcW w:w="240" w:type="dxa"/>
            <w:vAlign w:val="bottom"/>
            <w:shd w:val="clear" w:color="auto" w:fill="EAEAEA"/>
          </w:tcPr>
          <w:p>
            <w:pPr>
              <w:spacing w:after="0"/>
              <w:rPr>
                <w:sz w:val="17"/>
                <w:szCs w:val="17"/>
                <w:color w:val="auto"/>
              </w:rPr>
            </w:pPr>
          </w:p>
        </w:tc>
        <w:tc>
          <w:tcPr>
            <w:tcW w:w="2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GEN Westgate</w:t>
            </w:r>
          </w:p>
        </w:tc>
        <w:tc>
          <w:tcPr>
            <w:tcW w:w="140" w:type="dxa"/>
            <w:vAlign w:val="bottom"/>
            <w:shd w:val="clear" w:color="auto" w:fill="EAEAEA"/>
          </w:tcPr>
          <w:p>
            <w:pPr>
              <w:spacing w:after="0"/>
              <w:rPr>
                <w:sz w:val="17"/>
                <w:szCs w:val="17"/>
                <w:color w:val="auto"/>
              </w:rPr>
            </w:pPr>
          </w:p>
        </w:tc>
        <w:tc>
          <w:tcPr>
            <w:tcW w:w="1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8"/>
              </w:rPr>
              <w:t>CA</w:t>
            </w:r>
          </w:p>
        </w:tc>
        <w:tc>
          <w:tcPr>
            <w:tcW w:w="120" w:type="dxa"/>
            <w:vAlign w:val="bottom"/>
            <w:shd w:val="clear" w:color="auto" w:fill="EAEAEA"/>
          </w:tcPr>
          <w:p>
            <w:pPr>
              <w:spacing w:after="0"/>
              <w:rPr>
                <w:sz w:val="17"/>
                <w:szCs w:val="17"/>
                <w:color w:val="auto"/>
              </w:rPr>
            </w:pPr>
          </w:p>
        </w:tc>
        <w:tc>
          <w:tcPr>
            <w:tcW w:w="22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GEN Westheimer, LLC</w:t>
            </w:r>
          </w:p>
        </w:tc>
        <w:tc>
          <w:tcPr>
            <w:tcW w:w="2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GEN Westheimer</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TX</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GEN Manhattan NYU, LP</w:t>
            </w:r>
          </w:p>
        </w:tc>
        <w:tc>
          <w:tcPr>
            <w:tcW w:w="240" w:type="dxa"/>
            <w:vAlign w:val="bottom"/>
            <w:shd w:val="clear" w:color="auto" w:fill="EAEAEA"/>
          </w:tcPr>
          <w:p>
            <w:pPr>
              <w:spacing w:after="0"/>
              <w:rPr>
                <w:sz w:val="17"/>
                <w:szCs w:val="17"/>
                <w:color w:val="auto"/>
              </w:rPr>
            </w:pPr>
          </w:p>
        </w:tc>
        <w:tc>
          <w:tcPr>
            <w:tcW w:w="2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8"/>
              </w:rPr>
              <w:t>GEN Manhattan</w:t>
            </w:r>
          </w:p>
        </w:tc>
        <w:tc>
          <w:tcPr>
            <w:tcW w:w="140" w:type="dxa"/>
            <w:vAlign w:val="bottom"/>
            <w:shd w:val="clear" w:color="auto" w:fill="EAEAEA"/>
          </w:tcPr>
          <w:p>
            <w:pPr>
              <w:spacing w:after="0"/>
              <w:rPr>
                <w:sz w:val="17"/>
                <w:szCs w:val="17"/>
                <w:color w:val="auto"/>
              </w:rPr>
            </w:pPr>
          </w:p>
        </w:tc>
        <w:tc>
          <w:tcPr>
            <w:tcW w:w="1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5"/>
              </w:rPr>
              <w:t>NY</w:t>
            </w:r>
          </w:p>
        </w:tc>
        <w:tc>
          <w:tcPr>
            <w:tcW w:w="120" w:type="dxa"/>
            <w:vAlign w:val="bottom"/>
            <w:shd w:val="clear" w:color="auto" w:fill="EAEAEA"/>
          </w:tcPr>
          <w:p>
            <w:pPr>
              <w:spacing w:after="0"/>
              <w:rPr>
                <w:sz w:val="17"/>
                <w:szCs w:val="17"/>
                <w:color w:val="auto"/>
              </w:rPr>
            </w:pPr>
          </w:p>
        </w:tc>
        <w:tc>
          <w:tcPr>
            <w:tcW w:w="22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GEN Maui, LP</w:t>
            </w:r>
          </w:p>
        </w:tc>
        <w:tc>
          <w:tcPr>
            <w:tcW w:w="2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GEN Maui</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HI</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GEN Mountain View, LP</w:t>
            </w:r>
          </w:p>
        </w:tc>
        <w:tc>
          <w:tcPr>
            <w:tcW w:w="240" w:type="dxa"/>
            <w:vAlign w:val="bottom"/>
            <w:shd w:val="clear" w:color="auto" w:fill="EAEAEA"/>
          </w:tcPr>
          <w:p>
            <w:pPr>
              <w:spacing w:after="0"/>
              <w:rPr>
                <w:sz w:val="17"/>
                <w:szCs w:val="17"/>
                <w:color w:val="auto"/>
              </w:rPr>
            </w:pPr>
          </w:p>
        </w:tc>
        <w:tc>
          <w:tcPr>
            <w:tcW w:w="2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GEN Mountain View</w:t>
            </w:r>
          </w:p>
        </w:tc>
        <w:tc>
          <w:tcPr>
            <w:tcW w:w="140" w:type="dxa"/>
            <w:vAlign w:val="bottom"/>
            <w:shd w:val="clear" w:color="auto" w:fill="EAEAEA"/>
          </w:tcPr>
          <w:p>
            <w:pPr>
              <w:spacing w:after="0"/>
              <w:rPr>
                <w:sz w:val="17"/>
                <w:szCs w:val="17"/>
                <w:color w:val="auto"/>
              </w:rPr>
            </w:pPr>
          </w:p>
        </w:tc>
        <w:tc>
          <w:tcPr>
            <w:tcW w:w="1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8"/>
              </w:rPr>
              <w:t>CA</w:t>
            </w:r>
          </w:p>
        </w:tc>
        <w:tc>
          <w:tcPr>
            <w:tcW w:w="120" w:type="dxa"/>
            <w:vAlign w:val="bottom"/>
            <w:shd w:val="clear" w:color="auto" w:fill="EAEAEA"/>
          </w:tcPr>
          <w:p>
            <w:pPr>
              <w:spacing w:after="0"/>
              <w:rPr>
                <w:sz w:val="17"/>
                <w:szCs w:val="17"/>
                <w:color w:val="auto"/>
              </w:rPr>
            </w:pPr>
          </w:p>
        </w:tc>
        <w:tc>
          <w:tcPr>
            <w:tcW w:w="22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GKBH Restaurant, LLC</w:t>
            </w:r>
          </w:p>
        </w:tc>
        <w:tc>
          <w:tcPr>
            <w:tcW w:w="2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GEN Korean BBQ</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HI</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GEN Sacramento, LP</w:t>
            </w:r>
          </w:p>
        </w:tc>
        <w:tc>
          <w:tcPr>
            <w:tcW w:w="240" w:type="dxa"/>
            <w:vAlign w:val="bottom"/>
            <w:shd w:val="clear" w:color="auto" w:fill="EAEAEA"/>
          </w:tcPr>
          <w:p>
            <w:pPr>
              <w:spacing w:after="0"/>
              <w:rPr>
                <w:sz w:val="17"/>
                <w:szCs w:val="17"/>
                <w:color w:val="auto"/>
              </w:rPr>
            </w:pPr>
          </w:p>
        </w:tc>
        <w:tc>
          <w:tcPr>
            <w:tcW w:w="2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GEN Sacramento</w:t>
            </w:r>
          </w:p>
        </w:tc>
        <w:tc>
          <w:tcPr>
            <w:tcW w:w="140" w:type="dxa"/>
            <w:vAlign w:val="bottom"/>
            <w:shd w:val="clear" w:color="auto" w:fill="EAEAEA"/>
          </w:tcPr>
          <w:p>
            <w:pPr>
              <w:spacing w:after="0"/>
              <w:rPr>
                <w:sz w:val="17"/>
                <w:szCs w:val="17"/>
                <w:color w:val="auto"/>
              </w:rPr>
            </w:pPr>
          </w:p>
        </w:tc>
        <w:tc>
          <w:tcPr>
            <w:tcW w:w="1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8"/>
              </w:rPr>
              <w:t>CA</w:t>
            </w:r>
          </w:p>
        </w:tc>
        <w:tc>
          <w:tcPr>
            <w:tcW w:w="120" w:type="dxa"/>
            <w:vAlign w:val="bottom"/>
            <w:shd w:val="clear" w:color="auto" w:fill="EAEAEA"/>
          </w:tcPr>
          <w:p>
            <w:pPr>
              <w:spacing w:after="0"/>
              <w:rPr>
                <w:sz w:val="17"/>
                <w:szCs w:val="17"/>
                <w:color w:val="auto"/>
              </w:rPr>
            </w:pPr>
          </w:p>
        </w:tc>
        <w:tc>
          <w:tcPr>
            <w:tcW w:w="22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GEN Pearlridge, LLC</w:t>
            </w:r>
          </w:p>
        </w:tc>
        <w:tc>
          <w:tcPr>
            <w:tcW w:w="2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GEN Pearlridge</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HI</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GEN Kapolei, LP</w:t>
            </w:r>
          </w:p>
        </w:tc>
        <w:tc>
          <w:tcPr>
            <w:tcW w:w="240" w:type="dxa"/>
            <w:vAlign w:val="bottom"/>
            <w:shd w:val="clear" w:color="auto" w:fill="EAEAEA"/>
          </w:tcPr>
          <w:p>
            <w:pPr>
              <w:spacing w:after="0"/>
              <w:rPr>
                <w:sz w:val="17"/>
                <w:szCs w:val="17"/>
                <w:color w:val="auto"/>
              </w:rPr>
            </w:pPr>
          </w:p>
        </w:tc>
        <w:tc>
          <w:tcPr>
            <w:tcW w:w="2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GEN Kapolei</w:t>
            </w:r>
          </w:p>
        </w:tc>
        <w:tc>
          <w:tcPr>
            <w:tcW w:w="140" w:type="dxa"/>
            <w:vAlign w:val="bottom"/>
            <w:shd w:val="clear" w:color="auto" w:fill="EAEAEA"/>
          </w:tcPr>
          <w:p>
            <w:pPr>
              <w:spacing w:after="0"/>
              <w:rPr>
                <w:sz w:val="17"/>
                <w:szCs w:val="17"/>
                <w:color w:val="auto"/>
              </w:rPr>
            </w:pPr>
          </w:p>
        </w:tc>
        <w:tc>
          <w:tcPr>
            <w:tcW w:w="1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HI</w:t>
            </w:r>
          </w:p>
        </w:tc>
        <w:tc>
          <w:tcPr>
            <w:tcW w:w="120" w:type="dxa"/>
            <w:vAlign w:val="bottom"/>
            <w:shd w:val="clear" w:color="auto" w:fill="EAEAEA"/>
          </w:tcPr>
          <w:p>
            <w:pPr>
              <w:spacing w:after="0"/>
              <w:rPr>
                <w:sz w:val="17"/>
                <w:szCs w:val="17"/>
                <w:color w:val="auto"/>
              </w:rPr>
            </w:pPr>
          </w:p>
        </w:tc>
        <w:tc>
          <w:tcPr>
            <w:tcW w:w="22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GEN El Paso, LP</w:t>
            </w:r>
          </w:p>
        </w:tc>
        <w:tc>
          <w:tcPr>
            <w:tcW w:w="2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GEN El Paso</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TX</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GEN Frisco, LP</w:t>
            </w:r>
          </w:p>
        </w:tc>
        <w:tc>
          <w:tcPr>
            <w:tcW w:w="240" w:type="dxa"/>
            <w:vAlign w:val="bottom"/>
            <w:shd w:val="clear" w:color="auto" w:fill="EAEAEA"/>
          </w:tcPr>
          <w:p>
            <w:pPr>
              <w:spacing w:after="0"/>
              <w:rPr>
                <w:sz w:val="17"/>
                <w:szCs w:val="17"/>
                <w:color w:val="auto"/>
              </w:rPr>
            </w:pPr>
          </w:p>
        </w:tc>
        <w:tc>
          <w:tcPr>
            <w:tcW w:w="2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8"/>
              </w:rPr>
              <w:t>GEN Frisco</w:t>
            </w:r>
          </w:p>
        </w:tc>
        <w:tc>
          <w:tcPr>
            <w:tcW w:w="140" w:type="dxa"/>
            <w:vAlign w:val="bottom"/>
            <w:shd w:val="clear" w:color="auto" w:fill="EAEAEA"/>
          </w:tcPr>
          <w:p>
            <w:pPr>
              <w:spacing w:after="0"/>
              <w:rPr>
                <w:sz w:val="17"/>
                <w:szCs w:val="17"/>
                <w:color w:val="auto"/>
              </w:rPr>
            </w:pPr>
          </w:p>
        </w:tc>
        <w:tc>
          <w:tcPr>
            <w:tcW w:w="1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TX</w:t>
            </w:r>
          </w:p>
        </w:tc>
        <w:tc>
          <w:tcPr>
            <w:tcW w:w="120" w:type="dxa"/>
            <w:vAlign w:val="bottom"/>
            <w:shd w:val="clear" w:color="auto" w:fill="EAEAEA"/>
          </w:tcPr>
          <w:p>
            <w:pPr>
              <w:spacing w:after="0"/>
              <w:rPr>
                <w:sz w:val="17"/>
                <w:szCs w:val="17"/>
                <w:color w:val="auto"/>
              </w:rPr>
            </w:pPr>
          </w:p>
        </w:tc>
        <w:tc>
          <w:tcPr>
            <w:tcW w:w="22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GEN Houston, LLC</w:t>
            </w:r>
          </w:p>
        </w:tc>
        <w:tc>
          <w:tcPr>
            <w:tcW w:w="2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GEN Houston</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TX</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GEN Seattle, LP</w:t>
            </w:r>
          </w:p>
        </w:tc>
        <w:tc>
          <w:tcPr>
            <w:tcW w:w="240" w:type="dxa"/>
            <w:vAlign w:val="bottom"/>
            <w:shd w:val="clear" w:color="auto" w:fill="EAEAEA"/>
          </w:tcPr>
          <w:p>
            <w:pPr>
              <w:spacing w:after="0"/>
              <w:rPr>
                <w:sz w:val="17"/>
                <w:szCs w:val="17"/>
                <w:color w:val="auto"/>
              </w:rPr>
            </w:pPr>
          </w:p>
        </w:tc>
        <w:tc>
          <w:tcPr>
            <w:tcW w:w="2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GEN Seattle</w:t>
            </w:r>
          </w:p>
        </w:tc>
        <w:tc>
          <w:tcPr>
            <w:tcW w:w="140" w:type="dxa"/>
            <w:vAlign w:val="bottom"/>
            <w:shd w:val="clear" w:color="auto" w:fill="EAEAEA"/>
          </w:tcPr>
          <w:p>
            <w:pPr>
              <w:spacing w:after="0"/>
              <w:rPr>
                <w:sz w:val="17"/>
                <w:szCs w:val="17"/>
                <w:color w:val="auto"/>
              </w:rPr>
            </w:pPr>
          </w:p>
        </w:tc>
        <w:tc>
          <w:tcPr>
            <w:tcW w:w="1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7"/>
              </w:rPr>
              <w:t>WA</w:t>
            </w:r>
          </w:p>
        </w:tc>
        <w:tc>
          <w:tcPr>
            <w:tcW w:w="120" w:type="dxa"/>
            <w:vAlign w:val="bottom"/>
            <w:shd w:val="clear" w:color="auto" w:fill="EAEAEA"/>
          </w:tcPr>
          <w:p>
            <w:pPr>
              <w:spacing w:after="0"/>
              <w:rPr>
                <w:sz w:val="17"/>
                <w:szCs w:val="17"/>
                <w:color w:val="auto"/>
              </w:rPr>
            </w:pPr>
          </w:p>
        </w:tc>
        <w:tc>
          <w:tcPr>
            <w:tcW w:w="22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GEN Jacksonville, LP</w:t>
            </w:r>
          </w:p>
        </w:tc>
        <w:tc>
          <w:tcPr>
            <w:tcW w:w="2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GEN Jacksonville</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FL</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GEN Dallas, LP</w:t>
            </w:r>
          </w:p>
        </w:tc>
        <w:tc>
          <w:tcPr>
            <w:tcW w:w="240" w:type="dxa"/>
            <w:vAlign w:val="bottom"/>
            <w:shd w:val="clear" w:color="auto" w:fill="EAEAEA"/>
          </w:tcPr>
          <w:p>
            <w:pPr>
              <w:spacing w:after="0"/>
              <w:rPr>
                <w:sz w:val="17"/>
                <w:szCs w:val="17"/>
                <w:color w:val="auto"/>
              </w:rPr>
            </w:pPr>
          </w:p>
        </w:tc>
        <w:tc>
          <w:tcPr>
            <w:tcW w:w="2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GEN Dallas</w:t>
            </w:r>
          </w:p>
        </w:tc>
        <w:tc>
          <w:tcPr>
            <w:tcW w:w="140" w:type="dxa"/>
            <w:vAlign w:val="bottom"/>
            <w:shd w:val="clear" w:color="auto" w:fill="EAEAEA"/>
          </w:tcPr>
          <w:p>
            <w:pPr>
              <w:spacing w:after="0"/>
              <w:rPr>
                <w:sz w:val="17"/>
                <w:szCs w:val="17"/>
                <w:color w:val="auto"/>
              </w:rPr>
            </w:pPr>
          </w:p>
        </w:tc>
        <w:tc>
          <w:tcPr>
            <w:tcW w:w="1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TX</w:t>
            </w:r>
          </w:p>
        </w:tc>
        <w:tc>
          <w:tcPr>
            <w:tcW w:w="120" w:type="dxa"/>
            <w:vAlign w:val="bottom"/>
            <w:shd w:val="clear" w:color="auto" w:fill="EAEAEA"/>
          </w:tcPr>
          <w:p>
            <w:pPr>
              <w:spacing w:after="0"/>
              <w:rPr>
                <w:sz w:val="17"/>
                <w:szCs w:val="17"/>
                <w:color w:val="auto"/>
              </w:rPr>
            </w:pPr>
          </w:p>
        </w:tc>
        <w:tc>
          <w:tcPr>
            <w:tcW w:w="22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GEN Waco, LP</w:t>
            </w:r>
          </w:p>
        </w:tc>
        <w:tc>
          <w:tcPr>
            <w:tcW w:w="2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GEN Waco</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TX</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GEN Pflugerville, LP</w:t>
            </w:r>
          </w:p>
        </w:tc>
        <w:tc>
          <w:tcPr>
            <w:tcW w:w="240" w:type="dxa"/>
            <w:vAlign w:val="bottom"/>
            <w:shd w:val="clear" w:color="auto" w:fill="EAEAEA"/>
          </w:tcPr>
          <w:p>
            <w:pPr>
              <w:spacing w:after="0"/>
              <w:rPr>
                <w:sz w:val="17"/>
                <w:szCs w:val="17"/>
                <w:color w:val="auto"/>
              </w:rPr>
            </w:pPr>
          </w:p>
        </w:tc>
        <w:tc>
          <w:tcPr>
            <w:tcW w:w="2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GEN Pflugerville</w:t>
            </w:r>
          </w:p>
        </w:tc>
        <w:tc>
          <w:tcPr>
            <w:tcW w:w="140" w:type="dxa"/>
            <w:vAlign w:val="bottom"/>
            <w:shd w:val="clear" w:color="auto" w:fill="EAEAEA"/>
          </w:tcPr>
          <w:p>
            <w:pPr>
              <w:spacing w:after="0"/>
              <w:rPr>
                <w:sz w:val="17"/>
                <w:szCs w:val="17"/>
                <w:color w:val="auto"/>
              </w:rPr>
            </w:pPr>
          </w:p>
        </w:tc>
        <w:tc>
          <w:tcPr>
            <w:tcW w:w="1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TX</w:t>
            </w:r>
          </w:p>
        </w:tc>
        <w:tc>
          <w:tcPr>
            <w:tcW w:w="120" w:type="dxa"/>
            <w:vAlign w:val="bottom"/>
            <w:shd w:val="clear" w:color="auto" w:fill="EAEAEA"/>
          </w:tcPr>
          <w:p>
            <w:pPr>
              <w:spacing w:after="0"/>
              <w:rPr>
                <w:sz w:val="17"/>
                <w:szCs w:val="17"/>
                <w:color w:val="auto"/>
              </w:rPr>
            </w:pPr>
          </w:p>
        </w:tc>
        <w:tc>
          <w:tcPr>
            <w:tcW w:w="22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GEN Tigard, LP</w:t>
            </w:r>
          </w:p>
        </w:tc>
        <w:tc>
          <w:tcPr>
            <w:tcW w:w="2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GEN Tigard</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OR</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GEN Orlando, LP</w:t>
            </w:r>
          </w:p>
        </w:tc>
        <w:tc>
          <w:tcPr>
            <w:tcW w:w="240" w:type="dxa"/>
            <w:vAlign w:val="bottom"/>
            <w:shd w:val="clear" w:color="auto" w:fill="EAEAEA"/>
          </w:tcPr>
          <w:p>
            <w:pPr>
              <w:spacing w:after="0"/>
              <w:rPr>
                <w:sz w:val="17"/>
                <w:szCs w:val="17"/>
                <w:color w:val="auto"/>
              </w:rPr>
            </w:pPr>
          </w:p>
        </w:tc>
        <w:tc>
          <w:tcPr>
            <w:tcW w:w="2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8"/>
              </w:rPr>
              <w:t>GEN Orlando</w:t>
            </w:r>
          </w:p>
        </w:tc>
        <w:tc>
          <w:tcPr>
            <w:tcW w:w="140" w:type="dxa"/>
            <w:vAlign w:val="bottom"/>
            <w:shd w:val="clear" w:color="auto" w:fill="EAEAEA"/>
          </w:tcPr>
          <w:p>
            <w:pPr>
              <w:spacing w:after="0"/>
              <w:rPr>
                <w:sz w:val="17"/>
                <w:szCs w:val="17"/>
                <w:color w:val="auto"/>
              </w:rPr>
            </w:pPr>
          </w:p>
        </w:tc>
        <w:tc>
          <w:tcPr>
            <w:tcW w:w="1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6"/>
              </w:rPr>
              <w:t>FL</w:t>
            </w:r>
          </w:p>
        </w:tc>
        <w:tc>
          <w:tcPr>
            <w:tcW w:w="120" w:type="dxa"/>
            <w:vAlign w:val="bottom"/>
            <w:shd w:val="clear" w:color="auto" w:fill="EAEAEA"/>
          </w:tcPr>
          <w:p>
            <w:pPr>
              <w:spacing w:after="0"/>
              <w:rPr>
                <w:sz w:val="17"/>
                <w:szCs w:val="17"/>
                <w:color w:val="auto"/>
              </w:rPr>
            </w:pPr>
          </w:p>
        </w:tc>
        <w:tc>
          <w:tcPr>
            <w:tcW w:w="22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GEN Edison, LP</w:t>
            </w:r>
          </w:p>
        </w:tc>
        <w:tc>
          <w:tcPr>
            <w:tcW w:w="2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GEN Edison</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NJ</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GEN San Antonio, LP</w:t>
            </w:r>
          </w:p>
        </w:tc>
        <w:tc>
          <w:tcPr>
            <w:tcW w:w="240" w:type="dxa"/>
            <w:vAlign w:val="bottom"/>
            <w:shd w:val="clear" w:color="auto" w:fill="EAEAEA"/>
          </w:tcPr>
          <w:p>
            <w:pPr>
              <w:spacing w:after="0"/>
              <w:rPr>
                <w:sz w:val="17"/>
                <w:szCs w:val="17"/>
                <w:color w:val="auto"/>
              </w:rPr>
            </w:pPr>
          </w:p>
        </w:tc>
        <w:tc>
          <w:tcPr>
            <w:tcW w:w="2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8"/>
              </w:rPr>
              <w:t>GEN San Antonio</w:t>
            </w:r>
          </w:p>
        </w:tc>
        <w:tc>
          <w:tcPr>
            <w:tcW w:w="140" w:type="dxa"/>
            <w:vAlign w:val="bottom"/>
            <w:shd w:val="clear" w:color="auto" w:fill="EAEAEA"/>
          </w:tcPr>
          <w:p>
            <w:pPr>
              <w:spacing w:after="0"/>
              <w:rPr>
                <w:sz w:val="17"/>
                <w:szCs w:val="17"/>
                <w:color w:val="auto"/>
              </w:rPr>
            </w:pPr>
          </w:p>
        </w:tc>
        <w:tc>
          <w:tcPr>
            <w:tcW w:w="1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TX</w:t>
            </w:r>
          </w:p>
        </w:tc>
        <w:tc>
          <w:tcPr>
            <w:tcW w:w="120" w:type="dxa"/>
            <w:vAlign w:val="bottom"/>
            <w:shd w:val="clear" w:color="auto" w:fill="EAEAEA"/>
          </w:tcPr>
          <w:p>
            <w:pPr>
              <w:spacing w:after="0"/>
              <w:rPr>
                <w:sz w:val="17"/>
                <w:szCs w:val="17"/>
                <w:color w:val="auto"/>
              </w:rPr>
            </w:pPr>
          </w:p>
        </w:tc>
        <w:tc>
          <w:tcPr>
            <w:tcW w:w="22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GEN Austin, LP</w:t>
            </w:r>
          </w:p>
        </w:tc>
        <w:tc>
          <w:tcPr>
            <w:tcW w:w="2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GEN Austin</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TX</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Kan Sushi Austin, LP</w:t>
            </w:r>
          </w:p>
        </w:tc>
        <w:tc>
          <w:tcPr>
            <w:tcW w:w="240" w:type="dxa"/>
            <w:vAlign w:val="bottom"/>
            <w:shd w:val="clear" w:color="auto" w:fill="EAEAEA"/>
          </w:tcPr>
          <w:p>
            <w:pPr>
              <w:spacing w:after="0"/>
              <w:rPr>
                <w:sz w:val="17"/>
                <w:szCs w:val="17"/>
                <w:color w:val="auto"/>
              </w:rPr>
            </w:pPr>
          </w:p>
        </w:tc>
        <w:tc>
          <w:tcPr>
            <w:tcW w:w="2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Kan Sushi</w:t>
            </w:r>
          </w:p>
        </w:tc>
        <w:tc>
          <w:tcPr>
            <w:tcW w:w="140" w:type="dxa"/>
            <w:vAlign w:val="bottom"/>
            <w:shd w:val="clear" w:color="auto" w:fill="EAEAEA"/>
          </w:tcPr>
          <w:p>
            <w:pPr>
              <w:spacing w:after="0"/>
              <w:rPr>
                <w:sz w:val="17"/>
                <w:szCs w:val="17"/>
                <w:color w:val="auto"/>
              </w:rPr>
            </w:pPr>
          </w:p>
        </w:tc>
        <w:tc>
          <w:tcPr>
            <w:tcW w:w="1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TX</w:t>
            </w:r>
          </w:p>
        </w:tc>
        <w:tc>
          <w:tcPr>
            <w:tcW w:w="120" w:type="dxa"/>
            <w:vAlign w:val="bottom"/>
            <w:shd w:val="clear" w:color="auto" w:fill="EAEAEA"/>
          </w:tcPr>
          <w:p>
            <w:pPr>
              <w:spacing w:after="0"/>
              <w:rPr>
                <w:sz w:val="17"/>
                <w:szCs w:val="17"/>
                <w:color w:val="auto"/>
              </w:rPr>
            </w:pPr>
          </w:p>
        </w:tc>
        <w:tc>
          <w:tcPr>
            <w:tcW w:w="22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GEN Cary , LP</w:t>
            </w:r>
          </w:p>
        </w:tc>
        <w:tc>
          <w:tcPr>
            <w:tcW w:w="2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GEN Cary</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NC</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GEN San Diego, LP</w:t>
            </w:r>
          </w:p>
        </w:tc>
        <w:tc>
          <w:tcPr>
            <w:tcW w:w="240" w:type="dxa"/>
            <w:vAlign w:val="bottom"/>
            <w:shd w:val="clear" w:color="auto" w:fill="EAEAEA"/>
          </w:tcPr>
          <w:p>
            <w:pPr>
              <w:spacing w:after="0"/>
              <w:rPr>
                <w:sz w:val="17"/>
                <w:szCs w:val="17"/>
                <w:color w:val="auto"/>
              </w:rPr>
            </w:pPr>
          </w:p>
        </w:tc>
        <w:tc>
          <w:tcPr>
            <w:tcW w:w="2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GEN La Jolla</w:t>
            </w:r>
          </w:p>
        </w:tc>
        <w:tc>
          <w:tcPr>
            <w:tcW w:w="140" w:type="dxa"/>
            <w:vAlign w:val="bottom"/>
            <w:shd w:val="clear" w:color="auto" w:fill="EAEAEA"/>
          </w:tcPr>
          <w:p>
            <w:pPr>
              <w:spacing w:after="0"/>
              <w:rPr>
                <w:sz w:val="17"/>
                <w:szCs w:val="17"/>
                <w:color w:val="auto"/>
              </w:rPr>
            </w:pPr>
          </w:p>
        </w:tc>
        <w:tc>
          <w:tcPr>
            <w:tcW w:w="1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8"/>
              </w:rPr>
              <w:t>CA</w:t>
            </w:r>
          </w:p>
        </w:tc>
        <w:tc>
          <w:tcPr>
            <w:tcW w:w="120" w:type="dxa"/>
            <w:vAlign w:val="bottom"/>
            <w:shd w:val="clear" w:color="auto" w:fill="EAEAEA"/>
          </w:tcPr>
          <w:p>
            <w:pPr>
              <w:spacing w:after="0"/>
              <w:rPr>
                <w:sz w:val="17"/>
                <w:szCs w:val="17"/>
                <w:color w:val="auto"/>
              </w:rPr>
            </w:pPr>
          </w:p>
        </w:tc>
        <w:tc>
          <w:tcPr>
            <w:tcW w:w="22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GEN K Sadang, LLC</w:t>
            </w:r>
          </w:p>
        </w:tc>
        <w:tc>
          <w:tcPr>
            <w:tcW w:w="2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GEN Sadang</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Korea</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8"/>
              </w:rPr>
              <w:t>GEN K Ilsan, LLC</w:t>
            </w:r>
          </w:p>
        </w:tc>
        <w:tc>
          <w:tcPr>
            <w:tcW w:w="240" w:type="dxa"/>
            <w:vAlign w:val="bottom"/>
            <w:shd w:val="clear" w:color="auto" w:fill="EAEAEA"/>
          </w:tcPr>
          <w:p>
            <w:pPr>
              <w:spacing w:after="0"/>
              <w:rPr>
                <w:sz w:val="17"/>
                <w:szCs w:val="17"/>
                <w:color w:val="auto"/>
              </w:rPr>
            </w:pPr>
          </w:p>
        </w:tc>
        <w:tc>
          <w:tcPr>
            <w:tcW w:w="2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GEN Ilsan</w:t>
            </w:r>
          </w:p>
        </w:tc>
        <w:tc>
          <w:tcPr>
            <w:tcW w:w="140" w:type="dxa"/>
            <w:vAlign w:val="bottom"/>
            <w:shd w:val="clear" w:color="auto" w:fill="EAEAEA"/>
          </w:tcPr>
          <w:p>
            <w:pPr>
              <w:spacing w:after="0"/>
              <w:rPr>
                <w:sz w:val="17"/>
                <w:szCs w:val="17"/>
                <w:color w:val="auto"/>
              </w:rPr>
            </w:pPr>
          </w:p>
        </w:tc>
        <w:tc>
          <w:tcPr>
            <w:tcW w:w="1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7"/>
              </w:rPr>
              <w:t>Korea</w:t>
            </w:r>
          </w:p>
        </w:tc>
        <w:tc>
          <w:tcPr>
            <w:tcW w:w="120" w:type="dxa"/>
            <w:vAlign w:val="bottom"/>
            <w:shd w:val="clear" w:color="auto" w:fill="EAEAEA"/>
          </w:tcPr>
          <w:p>
            <w:pPr>
              <w:spacing w:after="0"/>
              <w:rPr>
                <w:sz w:val="17"/>
                <w:szCs w:val="17"/>
                <w:color w:val="auto"/>
              </w:rPr>
            </w:pPr>
          </w:p>
        </w:tc>
        <w:tc>
          <w:tcPr>
            <w:tcW w:w="22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GEN K Incheon Guwol, LLC</w:t>
            </w:r>
          </w:p>
        </w:tc>
        <w:tc>
          <w:tcPr>
            <w:tcW w:w="2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GEN Guwol</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Korea</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Gen Kan Guwol</w:t>
            </w:r>
          </w:p>
        </w:tc>
        <w:tc>
          <w:tcPr>
            <w:tcW w:w="240" w:type="dxa"/>
            <w:vAlign w:val="bottom"/>
            <w:shd w:val="clear" w:color="auto" w:fill="EAEAEA"/>
          </w:tcPr>
          <w:p>
            <w:pPr>
              <w:spacing w:after="0"/>
              <w:rPr>
                <w:sz w:val="17"/>
                <w:szCs w:val="17"/>
                <w:color w:val="auto"/>
              </w:rPr>
            </w:pPr>
          </w:p>
        </w:tc>
        <w:tc>
          <w:tcPr>
            <w:tcW w:w="2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Kan Guwol</w:t>
            </w:r>
          </w:p>
        </w:tc>
        <w:tc>
          <w:tcPr>
            <w:tcW w:w="140" w:type="dxa"/>
            <w:vAlign w:val="bottom"/>
            <w:shd w:val="clear" w:color="auto" w:fill="EAEAEA"/>
          </w:tcPr>
          <w:p>
            <w:pPr>
              <w:spacing w:after="0"/>
              <w:rPr>
                <w:sz w:val="17"/>
                <w:szCs w:val="17"/>
                <w:color w:val="auto"/>
              </w:rPr>
            </w:pPr>
          </w:p>
        </w:tc>
        <w:tc>
          <w:tcPr>
            <w:tcW w:w="1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7"/>
              </w:rPr>
              <w:t>Korea</w:t>
            </w:r>
          </w:p>
        </w:tc>
        <w:tc>
          <w:tcPr>
            <w:tcW w:w="120" w:type="dxa"/>
            <w:vAlign w:val="bottom"/>
            <w:shd w:val="clear" w:color="auto" w:fill="EAEAEA"/>
          </w:tcPr>
          <w:p>
            <w:pPr>
              <w:spacing w:after="0"/>
              <w:rPr>
                <w:sz w:val="17"/>
                <w:szCs w:val="17"/>
                <w:color w:val="auto"/>
              </w:rPr>
            </w:pPr>
          </w:p>
        </w:tc>
        <w:tc>
          <w:tcPr>
            <w:tcW w:w="22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283"/>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GEN K Wiyre, LLC</w:t>
            </w:r>
          </w:p>
        </w:tc>
        <w:tc>
          <w:tcPr>
            <w:tcW w:w="2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GEN Wirye</w:t>
            </w:r>
          </w:p>
        </w:tc>
        <w:tc>
          <w:tcPr>
            <w:tcW w:w="1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Korea</w:t>
            </w:r>
          </w:p>
        </w:tc>
        <w:tc>
          <w:tcPr>
            <w:tcW w:w="12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6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GEN Kan Wiyre</w:t>
            </w:r>
          </w:p>
        </w:tc>
        <w:tc>
          <w:tcPr>
            <w:tcW w:w="240" w:type="dxa"/>
            <w:vAlign w:val="bottom"/>
            <w:shd w:val="clear" w:color="auto" w:fill="EAEAEA"/>
          </w:tcPr>
          <w:p>
            <w:pPr>
              <w:spacing w:after="0"/>
              <w:rPr>
                <w:sz w:val="17"/>
                <w:szCs w:val="17"/>
                <w:color w:val="auto"/>
              </w:rPr>
            </w:pPr>
          </w:p>
        </w:tc>
        <w:tc>
          <w:tcPr>
            <w:tcW w:w="2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8"/>
              </w:rPr>
              <w:t>GEN Wirye</w:t>
            </w:r>
          </w:p>
        </w:tc>
        <w:tc>
          <w:tcPr>
            <w:tcW w:w="140" w:type="dxa"/>
            <w:vAlign w:val="bottom"/>
            <w:shd w:val="clear" w:color="auto" w:fill="EAEAEA"/>
          </w:tcPr>
          <w:p>
            <w:pPr>
              <w:spacing w:after="0"/>
              <w:rPr>
                <w:sz w:val="17"/>
                <w:szCs w:val="17"/>
                <w:color w:val="auto"/>
              </w:rPr>
            </w:pPr>
          </w:p>
        </w:tc>
        <w:tc>
          <w:tcPr>
            <w:tcW w:w="10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7"/>
              </w:rPr>
              <w:t>Korea</w:t>
            </w:r>
          </w:p>
        </w:tc>
        <w:tc>
          <w:tcPr>
            <w:tcW w:w="120" w:type="dxa"/>
            <w:vAlign w:val="bottom"/>
            <w:shd w:val="clear" w:color="auto" w:fill="EAEAEA"/>
          </w:tcPr>
          <w:p>
            <w:pPr>
              <w:spacing w:after="0"/>
              <w:rPr>
                <w:sz w:val="17"/>
                <w:szCs w:val="17"/>
                <w:color w:val="auto"/>
              </w:rPr>
            </w:pPr>
          </w:p>
        </w:tc>
        <w:tc>
          <w:tcPr>
            <w:tcW w:w="222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bl>
    <w:p>
      <w:pPr>
        <w:spacing w:after="0" w:line="200" w:lineRule="exact"/>
        <w:rPr>
          <w:sz w:val="20"/>
          <w:szCs w:val="20"/>
          <w:color w:val="auto"/>
        </w:rPr>
      </w:pPr>
    </w:p>
    <w:p>
      <w:pPr>
        <w:sectPr>
          <w:pgSz w:w="12240" w:h="15840" w:orient="portrait"/>
          <w:cols w:equalWidth="0" w:num="1">
            <w:col w:w="9540"/>
          </w:cols>
          <w:pgMar w:left="1260" w:top="224" w:right="1440" w:bottom="90" w:gutter="0" w:footer="0" w:header="0"/>
        </w:sectPr>
      </w:pPr>
    </w:p>
    <w:p>
      <w:pPr>
        <w:spacing w:after="0" w:line="22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292929"/>
        </w:rPr>
        <w:t>F-9</w:t>
      </w:r>
    </w:p>
    <w:p>
      <w:pPr>
        <w:sectPr>
          <w:pgSz w:w="12240" w:h="15840" w:orient="portrait"/>
          <w:cols w:equalWidth="0" w:num="1">
            <w:col w:w="9540"/>
          </w:cols>
          <w:pgMar w:left="1260" w:top="224" w:right="1440" w:bottom="90" w:gutter="0" w:footer="0" w:header="0"/>
          <w:type w:val="continuous"/>
        </w:sectPr>
      </w:pPr>
    </w:p>
    <w:bookmarkStart w:id="75" w:name="page76"/>
    <w:bookmarkEnd w:id="75"/>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GEN RESTAURANT GROUP, INC.</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Notes to Consolidated Financial Statements</w:t>
      </w: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December 31, 2025 and 2024</w:t>
      </w:r>
    </w:p>
    <w:p>
      <w:pPr>
        <w:spacing w:after="0" w:line="2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 also has the following entities: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Borders>
              <w:bottom w:val="single" w:sz="8" w:color="EAEAEA"/>
            </w:tcBorders>
          </w:tcPr>
          <w:p>
            <w:pPr>
              <w:spacing w:after="0"/>
              <w:rPr>
                <w:sz w:val="15"/>
                <w:szCs w:val="15"/>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Operating Name</w:t>
            </w:r>
          </w:p>
        </w:tc>
        <w:tc>
          <w:tcPr>
            <w:tcW w:w="160" w:type="dxa"/>
            <w:vAlign w:val="bottom"/>
            <w:tcBorders>
              <w:bottom w:val="single" w:sz="8" w:color="EAEAEA"/>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State</w:t>
            </w:r>
          </w:p>
        </w:tc>
        <w:tc>
          <w:tcPr>
            <w:tcW w:w="120" w:type="dxa"/>
            <w:vAlign w:val="bottom"/>
            <w:tcBorders>
              <w:bottom w:val="single" w:sz="8" w:color="EAEAEA"/>
            </w:tcBorders>
          </w:tcPr>
          <w:p>
            <w:pPr>
              <w:spacing w:after="0"/>
              <w:rPr>
                <w:sz w:val="15"/>
                <w:szCs w:val="15"/>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Purpose</w:t>
            </w:r>
          </w:p>
        </w:tc>
      </w:tr>
      <w:tr>
        <w:trPr>
          <w:trHeight w:val="204"/>
        </w:trPr>
        <w:tc>
          <w:tcPr>
            <w:tcW w:w="29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8"/>
              </w:rPr>
              <w:t>GEN Hawaii, LLC</w:t>
            </w:r>
          </w:p>
        </w:tc>
        <w:tc>
          <w:tcPr>
            <w:tcW w:w="240" w:type="dxa"/>
            <w:vAlign w:val="bottom"/>
            <w:shd w:val="clear" w:color="auto" w:fill="EAEAEA"/>
          </w:tcPr>
          <w:p>
            <w:pPr>
              <w:spacing w:after="0"/>
              <w:rPr>
                <w:sz w:val="17"/>
                <w:szCs w:val="17"/>
                <w:color w:val="auto"/>
              </w:rPr>
            </w:pPr>
          </w:p>
        </w:tc>
        <w:tc>
          <w:tcPr>
            <w:tcW w:w="226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Investment Company</w:t>
            </w:r>
          </w:p>
        </w:tc>
        <w:tc>
          <w:tcPr>
            <w:tcW w:w="160" w:type="dxa"/>
            <w:vAlign w:val="bottom"/>
            <w:shd w:val="clear" w:color="auto" w:fill="EAEAEA"/>
          </w:tcPr>
          <w:p>
            <w:pPr>
              <w:spacing w:after="0"/>
              <w:rPr>
                <w:sz w:val="17"/>
                <w:szCs w:val="17"/>
                <w:color w:val="auto"/>
              </w:rPr>
            </w:pPr>
          </w:p>
        </w:tc>
        <w:tc>
          <w:tcPr>
            <w:tcW w:w="114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4"/>
              </w:rPr>
              <w:t>HI</w:t>
            </w:r>
          </w:p>
        </w:tc>
        <w:tc>
          <w:tcPr>
            <w:tcW w:w="120" w:type="dxa"/>
            <w:vAlign w:val="bottom"/>
            <w:shd w:val="clear" w:color="auto" w:fill="EAEAEA"/>
          </w:tcPr>
          <w:p>
            <w:pPr>
              <w:spacing w:after="0"/>
              <w:rPr>
                <w:sz w:val="17"/>
                <w:szCs w:val="17"/>
                <w:color w:val="auto"/>
              </w:rPr>
            </w:pPr>
          </w:p>
        </w:tc>
        <w:tc>
          <w:tcPr>
            <w:tcW w:w="246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Management of GKBH</w:t>
            </w:r>
          </w:p>
        </w:tc>
      </w:tr>
      <w:tr>
        <w:trPr>
          <w:trHeight w:val="209"/>
        </w:trPr>
        <w:tc>
          <w:tcPr>
            <w:tcW w:w="2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GEN Grills, LP</w:t>
            </w:r>
          </w:p>
        </w:tc>
        <w:tc>
          <w:tcPr>
            <w:tcW w:w="2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GEN Grills</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CA</w:t>
            </w:r>
          </w:p>
        </w:tc>
        <w:tc>
          <w:tcPr>
            <w:tcW w:w="12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Special Events</w:t>
            </w:r>
          </w:p>
        </w:tc>
      </w:tr>
      <w:tr>
        <w:trPr>
          <w:trHeight w:val="183"/>
        </w:trPr>
        <w:tc>
          <w:tcPr>
            <w:tcW w:w="2980" w:type="dxa"/>
            <w:vAlign w:val="bottom"/>
            <w:shd w:val="clear" w:color="auto" w:fill="EAEAEA"/>
          </w:tcPr>
          <w:p>
            <w:pPr>
              <w:spacing w:after="0"/>
              <w:rPr>
                <w:sz w:val="15"/>
                <w:szCs w:val="15"/>
                <w:color w:val="auto"/>
              </w:rPr>
            </w:pPr>
          </w:p>
        </w:tc>
        <w:tc>
          <w:tcPr>
            <w:tcW w:w="240" w:type="dxa"/>
            <w:vAlign w:val="bottom"/>
            <w:shd w:val="clear" w:color="auto" w:fill="EAEAEA"/>
          </w:tcPr>
          <w:p>
            <w:pPr>
              <w:spacing w:after="0"/>
              <w:rPr>
                <w:sz w:val="15"/>
                <w:szCs w:val="15"/>
                <w:color w:val="auto"/>
              </w:rPr>
            </w:pPr>
          </w:p>
        </w:tc>
        <w:tc>
          <w:tcPr>
            <w:tcW w:w="2260" w:type="dxa"/>
            <w:vAlign w:val="bottom"/>
            <w:shd w:val="clear" w:color="auto" w:fill="EAEAEA"/>
          </w:tcPr>
          <w:p>
            <w:pPr>
              <w:spacing w:after="0"/>
              <w:rPr>
                <w:sz w:val="15"/>
                <w:szCs w:val="15"/>
                <w:color w:val="auto"/>
              </w:rPr>
            </w:pPr>
          </w:p>
        </w:tc>
        <w:tc>
          <w:tcPr>
            <w:tcW w:w="160" w:type="dxa"/>
            <w:vAlign w:val="bottom"/>
            <w:shd w:val="clear" w:color="auto" w:fill="EAEAEA"/>
          </w:tcPr>
          <w:p>
            <w:pPr>
              <w:spacing w:after="0"/>
              <w:rPr>
                <w:sz w:val="15"/>
                <w:szCs w:val="15"/>
                <w:color w:val="auto"/>
              </w:rPr>
            </w:pPr>
          </w:p>
        </w:tc>
        <w:tc>
          <w:tcPr>
            <w:tcW w:w="1140" w:type="dxa"/>
            <w:vAlign w:val="bottom"/>
            <w:shd w:val="clear" w:color="auto" w:fill="EAEAEA"/>
          </w:tcPr>
          <w:p>
            <w:pPr>
              <w:spacing w:after="0"/>
              <w:rPr>
                <w:sz w:val="15"/>
                <w:szCs w:val="15"/>
                <w:color w:val="auto"/>
              </w:rPr>
            </w:pPr>
          </w:p>
        </w:tc>
        <w:tc>
          <w:tcPr>
            <w:tcW w:w="120" w:type="dxa"/>
            <w:vAlign w:val="bottom"/>
            <w:shd w:val="clear" w:color="auto" w:fill="EAEAEA"/>
          </w:tcPr>
          <w:p>
            <w:pPr>
              <w:spacing w:after="0"/>
              <w:rPr>
                <w:sz w:val="15"/>
                <w:szCs w:val="15"/>
                <w:color w:val="auto"/>
              </w:rPr>
            </w:pPr>
          </w:p>
        </w:tc>
        <w:tc>
          <w:tcPr>
            <w:tcW w:w="2460" w:type="dxa"/>
            <w:vAlign w:val="bottom"/>
            <w:shd w:val="clear" w:color="auto" w:fill="EAEAEA"/>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Management of GEN Houston and</w:t>
            </w:r>
          </w:p>
        </w:tc>
      </w:tr>
      <w:tr>
        <w:trPr>
          <w:trHeight w:val="199"/>
        </w:trPr>
        <w:tc>
          <w:tcPr>
            <w:tcW w:w="29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8"/>
              </w:rPr>
              <w:t>GEN Texas, LLC</w:t>
            </w:r>
          </w:p>
        </w:tc>
        <w:tc>
          <w:tcPr>
            <w:tcW w:w="240" w:type="dxa"/>
            <w:vAlign w:val="bottom"/>
            <w:shd w:val="clear" w:color="auto" w:fill="EAEAEA"/>
          </w:tcPr>
          <w:p>
            <w:pPr>
              <w:spacing w:after="0"/>
              <w:rPr>
                <w:sz w:val="17"/>
                <w:szCs w:val="17"/>
                <w:color w:val="auto"/>
              </w:rPr>
            </w:pPr>
          </w:p>
        </w:tc>
        <w:tc>
          <w:tcPr>
            <w:tcW w:w="226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Investment Company</w:t>
            </w:r>
          </w:p>
        </w:tc>
        <w:tc>
          <w:tcPr>
            <w:tcW w:w="160" w:type="dxa"/>
            <w:vAlign w:val="bottom"/>
            <w:shd w:val="clear" w:color="auto" w:fill="EAEAEA"/>
          </w:tcPr>
          <w:p>
            <w:pPr>
              <w:spacing w:after="0"/>
              <w:rPr>
                <w:sz w:val="17"/>
                <w:szCs w:val="17"/>
                <w:color w:val="auto"/>
              </w:rPr>
            </w:pPr>
          </w:p>
        </w:tc>
        <w:tc>
          <w:tcPr>
            <w:tcW w:w="114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3"/>
              </w:rPr>
              <w:t>TX</w:t>
            </w:r>
          </w:p>
        </w:tc>
        <w:tc>
          <w:tcPr>
            <w:tcW w:w="120" w:type="dxa"/>
            <w:vAlign w:val="bottom"/>
            <w:shd w:val="clear" w:color="auto" w:fill="EAEAEA"/>
          </w:tcPr>
          <w:p>
            <w:pPr>
              <w:spacing w:after="0"/>
              <w:rPr>
                <w:sz w:val="17"/>
                <w:szCs w:val="17"/>
                <w:color w:val="auto"/>
              </w:rPr>
            </w:pPr>
          </w:p>
        </w:tc>
        <w:tc>
          <w:tcPr>
            <w:tcW w:w="246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GEN Webster</w:t>
            </w:r>
          </w:p>
        </w:tc>
      </w:tr>
      <w:tr>
        <w:trPr>
          <w:trHeight w:val="283"/>
        </w:trPr>
        <w:tc>
          <w:tcPr>
            <w:tcW w:w="2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GEN Master, LLC</w:t>
            </w:r>
          </w:p>
        </w:tc>
        <w:tc>
          <w:tcPr>
            <w:tcW w:w="24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Holding Company</w:t>
            </w:r>
          </w:p>
        </w:tc>
        <w:tc>
          <w:tcPr>
            <w:tcW w:w="1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NV</w:t>
            </w:r>
          </w:p>
        </w:tc>
        <w:tc>
          <w:tcPr>
            <w:tcW w:w="1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Management</w:t>
            </w:r>
          </w:p>
        </w:tc>
      </w:tr>
      <w:tr>
        <w:trPr>
          <w:trHeight w:val="183"/>
        </w:trPr>
        <w:tc>
          <w:tcPr>
            <w:tcW w:w="2980" w:type="dxa"/>
            <w:vAlign w:val="bottom"/>
            <w:shd w:val="clear" w:color="auto" w:fill="EAEAEA"/>
          </w:tcPr>
          <w:p>
            <w:pPr>
              <w:spacing w:after="0"/>
              <w:rPr>
                <w:sz w:val="15"/>
                <w:szCs w:val="15"/>
                <w:color w:val="auto"/>
              </w:rPr>
            </w:pPr>
          </w:p>
        </w:tc>
        <w:tc>
          <w:tcPr>
            <w:tcW w:w="240" w:type="dxa"/>
            <w:vAlign w:val="bottom"/>
            <w:shd w:val="clear" w:color="auto" w:fill="EAEAEA"/>
          </w:tcPr>
          <w:p>
            <w:pPr>
              <w:spacing w:after="0"/>
              <w:rPr>
                <w:sz w:val="15"/>
                <w:szCs w:val="15"/>
                <w:color w:val="auto"/>
              </w:rPr>
            </w:pPr>
          </w:p>
        </w:tc>
        <w:tc>
          <w:tcPr>
            <w:tcW w:w="2260" w:type="dxa"/>
            <w:vAlign w:val="bottom"/>
            <w:shd w:val="clear" w:color="auto" w:fill="EAEAEA"/>
          </w:tcPr>
          <w:p>
            <w:pPr>
              <w:spacing w:after="0"/>
              <w:rPr>
                <w:sz w:val="15"/>
                <w:szCs w:val="15"/>
                <w:color w:val="auto"/>
              </w:rPr>
            </w:pPr>
          </w:p>
        </w:tc>
        <w:tc>
          <w:tcPr>
            <w:tcW w:w="160" w:type="dxa"/>
            <w:vAlign w:val="bottom"/>
            <w:shd w:val="clear" w:color="auto" w:fill="EAEAEA"/>
          </w:tcPr>
          <w:p>
            <w:pPr>
              <w:spacing w:after="0"/>
              <w:rPr>
                <w:sz w:val="15"/>
                <w:szCs w:val="15"/>
                <w:color w:val="auto"/>
              </w:rPr>
            </w:pPr>
          </w:p>
        </w:tc>
        <w:tc>
          <w:tcPr>
            <w:tcW w:w="1140" w:type="dxa"/>
            <w:vAlign w:val="bottom"/>
            <w:shd w:val="clear" w:color="auto" w:fill="EAEAEA"/>
          </w:tcPr>
          <w:p>
            <w:pPr>
              <w:spacing w:after="0"/>
              <w:rPr>
                <w:sz w:val="15"/>
                <w:szCs w:val="15"/>
                <w:color w:val="auto"/>
              </w:rPr>
            </w:pPr>
          </w:p>
        </w:tc>
        <w:tc>
          <w:tcPr>
            <w:tcW w:w="120" w:type="dxa"/>
            <w:vAlign w:val="bottom"/>
            <w:shd w:val="clear" w:color="auto" w:fill="EAEAEA"/>
          </w:tcPr>
          <w:p>
            <w:pPr>
              <w:spacing w:after="0"/>
              <w:rPr>
                <w:sz w:val="15"/>
                <w:szCs w:val="15"/>
                <w:color w:val="auto"/>
              </w:rPr>
            </w:pPr>
          </w:p>
        </w:tc>
        <w:tc>
          <w:tcPr>
            <w:tcW w:w="2460" w:type="dxa"/>
            <w:vAlign w:val="bottom"/>
            <w:shd w:val="clear" w:color="auto" w:fill="EAEAEA"/>
          </w:tcPr>
          <w:p>
            <w:pPr>
              <w:jc w:val="center"/>
              <w:spacing w:after="0" w:line="183" w:lineRule="exact"/>
              <w:rPr>
                <w:sz w:val="20"/>
                <w:szCs w:val="20"/>
                <w:color w:val="auto"/>
              </w:rPr>
            </w:pPr>
            <w:r>
              <w:rPr>
                <w:rFonts w:ascii="Times New Roman" w:cs="Times New Roman" w:eastAsia="Times New Roman" w:hAnsi="Times New Roman"/>
                <w:sz w:val="16"/>
                <w:szCs w:val="16"/>
                <w:color w:val="auto"/>
              </w:rPr>
              <w:t>Management of South Korean</w:t>
            </w:r>
          </w:p>
        </w:tc>
      </w:tr>
      <w:tr>
        <w:trPr>
          <w:trHeight w:val="199"/>
        </w:trPr>
        <w:tc>
          <w:tcPr>
            <w:tcW w:w="29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GEN K, LLC</w:t>
            </w:r>
          </w:p>
        </w:tc>
        <w:tc>
          <w:tcPr>
            <w:tcW w:w="240" w:type="dxa"/>
            <w:vAlign w:val="bottom"/>
            <w:shd w:val="clear" w:color="auto" w:fill="EAEAEA"/>
          </w:tcPr>
          <w:p>
            <w:pPr>
              <w:spacing w:after="0"/>
              <w:rPr>
                <w:sz w:val="17"/>
                <w:szCs w:val="17"/>
                <w:color w:val="auto"/>
              </w:rPr>
            </w:pPr>
          </w:p>
        </w:tc>
        <w:tc>
          <w:tcPr>
            <w:tcW w:w="226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GEN K</w:t>
            </w:r>
          </w:p>
        </w:tc>
        <w:tc>
          <w:tcPr>
            <w:tcW w:w="160" w:type="dxa"/>
            <w:vAlign w:val="bottom"/>
            <w:shd w:val="clear" w:color="auto" w:fill="EAEAEA"/>
          </w:tcPr>
          <w:p>
            <w:pPr>
              <w:spacing w:after="0"/>
              <w:rPr>
                <w:sz w:val="17"/>
                <w:szCs w:val="17"/>
                <w:color w:val="auto"/>
              </w:rPr>
            </w:pPr>
          </w:p>
        </w:tc>
        <w:tc>
          <w:tcPr>
            <w:tcW w:w="114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120" w:type="dxa"/>
            <w:vAlign w:val="bottom"/>
            <w:shd w:val="clear" w:color="auto" w:fill="EAEAEA"/>
          </w:tcPr>
          <w:p>
            <w:pPr>
              <w:spacing w:after="0"/>
              <w:rPr>
                <w:sz w:val="17"/>
                <w:szCs w:val="17"/>
                <w:color w:val="auto"/>
              </w:rPr>
            </w:pPr>
          </w:p>
        </w:tc>
        <w:tc>
          <w:tcPr>
            <w:tcW w:w="246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Restaurant</w:t>
            </w:r>
          </w:p>
        </w:tc>
      </w:tr>
      <w:tr>
        <w:trPr>
          <w:trHeight w:val="198"/>
        </w:trPr>
        <w:tc>
          <w:tcPr>
            <w:tcW w:w="2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GEN Restaurant Management, LLC</w:t>
            </w:r>
          </w:p>
        </w:tc>
        <w:tc>
          <w:tcPr>
            <w:tcW w:w="24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GRM</w:t>
            </w:r>
          </w:p>
        </w:tc>
        <w:tc>
          <w:tcPr>
            <w:tcW w:w="16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DE</w:t>
            </w:r>
          </w:p>
        </w:tc>
        <w:tc>
          <w:tcPr>
            <w:tcW w:w="12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Management</w:t>
            </w:r>
          </w:p>
        </w:tc>
      </w:tr>
      <w:tr>
        <w:trPr>
          <w:trHeight w:val="198"/>
        </w:trPr>
        <w:tc>
          <w:tcPr>
            <w:tcW w:w="29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GEN Online, LLC</w:t>
            </w:r>
          </w:p>
        </w:tc>
        <w:tc>
          <w:tcPr>
            <w:tcW w:w="240" w:type="dxa"/>
            <w:vAlign w:val="bottom"/>
            <w:shd w:val="clear" w:color="auto" w:fill="EAEAEA"/>
          </w:tcPr>
          <w:p>
            <w:pPr>
              <w:spacing w:after="0"/>
              <w:rPr>
                <w:sz w:val="17"/>
                <w:szCs w:val="17"/>
                <w:color w:val="auto"/>
              </w:rPr>
            </w:pPr>
          </w:p>
        </w:tc>
        <w:tc>
          <w:tcPr>
            <w:tcW w:w="226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GEN Online</w:t>
            </w:r>
          </w:p>
        </w:tc>
        <w:tc>
          <w:tcPr>
            <w:tcW w:w="160" w:type="dxa"/>
            <w:vAlign w:val="bottom"/>
            <w:shd w:val="clear" w:color="auto" w:fill="EAEAEA"/>
          </w:tcPr>
          <w:p>
            <w:pPr>
              <w:spacing w:after="0"/>
              <w:rPr>
                <w:sz w:val="17"/>
                <w:szCs w:val="17"/>
                <w:color w:val="auto"/>
              </w:rPr>
            </w:pPr>
          </w:p>
        </w:tc>
        <w:tc>
          <w:tcPr>
            <w:tcW w:w="114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8"/>
              </w:rPr>
              <w:t>CA</w:t>
            </w:r>
          </w:p>
        </w:tc>
        <w:tc>
          <w:tcPr>
            <w:tcW w:w="120" w:type="dxa"/>
            <w:vAlign w:val="bottom"/>
            <w:shd w:val="clear" w:color="auto" w:fill="EAEAEA"/>
          </w:tcPr>
          <w:p>
            <w:pPr>
              <w:spacing w:after="0"/>
              <w:rPr>
                <w:sz w:val="17"/>
                <w:szCs w:val="17"/>
                <w:color w:val="auto"/>
              </w:rPr>
            </w:pPr>
          </w:p>
        </w:tc>
        <w:tc>
          <w:tcPr>
            <w:tcW w:w="246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Website sales</w:t>
            </w:r>
          </w:p>
        </w:tc>
      </w:tr>
      <w:tr>
        <w:trPr>
          <w:trHeight w:val="283"/>
        </w:trPr>
        <w:tc>
          <w:tcPr>
            <w:tcW w:w="2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GEN Arizona Gift Cards</w:t>
            </w:r>
          </w:p>
        </w:tc>
        <w:tc>
          <w:tcPr>
            <w:tcW w:w="24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AZGC</w:t>
            </w:r>
          </w:p>
        </w:tc>
        <w:tc>
          <w:tcPr>
            <w:tcW w:w="1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AZ</w:t>
            </w:r>
          </w:p>
        </w:tc>
        <w:tc>
          <w:tcPr>
            <w:tcW w:w="1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Gift card Management Company</w:t>
            </w:r>
          </w:p>
        </w:tc>
      </w:tr>
      <w:tr>
        <w:trPr>
          <w:trHeight w:val="283"/>
        </w:trPr>
        <w:tc>
          <w:tcPr>
            <w:tcW w:w="29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GEN Restaurant Companies, LLC</w:t>
            </w:r>
          </w:p>
        </w:tc>
        <w:tc>
          <w:tcPr>
            <w:tcW w:w="240" w:type="dxa"/>
            <w:vAlign w:val="bottom"/>
            <w:shd w:val="clear" w:color="auto" w:fill="EAEAEA"/>
          </w:tcPr>
          <w:p>
            <w:pPr>
              <w:spacing w:after="0"/>
              <w:rPr>
                <w:sz w:val="24"/>
                <w:szCs w:val="24"/>
                <w:color w:val="auto"/>
              </w:rPr>
            </w:pPr>
          </w:p>
        </w:tc>
        <w:tc>
          <w:tcPr>
            <w:tcW w:w="226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9"/>
              </w:rPr>
              <w:t>Operating Company</w:t>
            </w:r>
          </w:p>
        </w:tc>
        <w:tc>
          <w:tcPr>
            <w:tcW w:w="160" w:type="dxa"/>
            <w:vAlign w:val="bottom"/>
            <w:shd w:val="clear" w:color="auto" w:fill="EAEAEA"/>
          </w:tcPr>
          <w:p>
            <w:pPr>
              <w:spacing w:after="0"/>
              <w:rPr>
                <w:sz w:val="24"/>
                <w:szCs w:val="24"/>
                <w:color w:val="auto"/>
              </w:rPr>
            </w:pPr>
          </w:p>
        </w:tc>
        <w:tc>
          <w:tcPr>
            <w:tcW w:w="114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w w:val="93"/>
              </w:rPr>
              <w:t>DE</w:t>
            </w:r>
          </w:p>
        </w:tc>
        <w:tc>
          <w:tcPr>
            <w:tcW w:w="120" w:type="dxa"/>
            <w:vAlign w:val="bottom"/>
            <w:shd w:val="clear" w:color="auto" w:fill="EAEAEA"/>
          </w:tcPr>
          <w:p>
            <w:pPr>
              <w:spacing w:after="0"/>
              <w:rPr>
                <w:sz w:val="24"/>
                <w:szCs w:val="24"/>
                <w:color w:val="auto"/>
              </w:rPr>
            </w:pPr>
          </w:p>
        </w:tc>
        <w:tc>
          <w:tcPr>
            <w:tcW w:w="246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6"/>
                <w:szCs w:val="16"/>
                <w:color w:val="auto"/>
              </w:rPr>
              <w:t>Operating Company of Public Entity</w:t>
            </w:r>
          </w:p>
        </w:tc>
      </w:tr>
    </w:tbl>
    <w:p>
      <w:pPr>
        <w:spacing w:after="0" w:line="200" w:lineRule="exact"/>
        <w:rPr>
          <w:sz w:val="20"/>
          <w:szCs w:val="20"/>
          <w:color w:val="auto"/>
        </w:rPr>
      </w:pPr>
    </w:p>
    <w:p>
      <w:pPr>
        <w:spacing w:after="0" w:line="351" w:lineRule="exact"/>
        <w:rPr>
          <w:sz w:val="20"/>
          <w:szCs w:val="20"/>
          <w:color w:val="auto"/>
        </w:rPr>
      </w:pPr>
    </w:p>
    <w:p>
      <w:pPr>
        <w:ind w:right="360" w:firstLine="490"/>
        <w:spacing w:after="0" w:line="258" w:lineRule="auto"/>
        <w:rPr>
          <w:sz w:val="20"/>
          <w:szCs w:val="20"/>
          <w:color w:val="auto"/>
        </w:rPr>
      </w:pPr>
      <w:r>
        <w:rPr>
          <w:rFonts w:ascii="Times New Roman" w:cs="Times New Roman" w:eastAsia="Times New Roman" w:hAnsi="Times New Roman"/>
          <w:sz w:val="20"/>
          <w:szCs w:val="20"/>
          <w:color w:val="auto"/>
        </w:rPr>
        <w:t>All of the operations are owned by Gen Restaurant Companies, LLC. The Company operates restaurants which are located in California, Arizona, Hawaii, Nevada, New York, Washington, Texas, Florida, North Carolina and New Jersey specializing in a variety of special flavored meats for Korean barbeque.</w:t>
      </w:r>
    </w:p>
    <w:p>
      <w:pPr>
        <w:spacing w:after="0" w:line="298" w:lineRule="exact"/>
        <w:rPr>
          <w:sz w:val="20"/>
          <w:szCs w:val="20"/>
          <w:color w:val="auto"/>
        </w:rPr>
      </w:pPr>
    </w:p>
    <w:p>
      <w:pPr>
        <w:ind w:right="660" w:firstLine="490"/>
        <w:spacing w:after="0" w:line="249" w:lineRule="auto"/>
        <w:rPr>
          <w:sz w:val="20"/>
          <w:szCs w:val="20"/>
          <w:color w:val="auto"/>
        </w:rPr>
      </w:pPr>
      <w:r>
        <w:rPr>
          <w:rFonts w:ascii="Times New Roman" w:cs="Times New Roman" w:eastAsia="Times New Roman" w:hAnsi="Times New Roman"/>
          <w:sz w:val="20"/>
          <w:szCs w:val="20"/>
          <w:color w:val="auto"/>
        </w:rPr>
        <w:t>As of December 31, 2025, the above entities are collectively owned 100% by the controlling group. The Company had an equity method investment through GEN Hawaii, with a 50% ownership share of GKBH Restaurant, LLC (“GKBH”). On February 18, 2024, the Company purchased the other 50% of GKBH for a purchase price of $6.0 million and the Company now controls 100% of GKBH. As of December 31, 2025 and December 31, 2024, there were 57 and 43 restaurants in operation, respectively.</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Organization</w:t>
      </w:r>
    </w:p>
    <w:p>
      <w:pPr>
        <w:spacing w:after="0" w:line="104" w:lineRule="exact"/>
        <w:rPr>
          <w:sz w:val="20"/>
          <w:szCs w:val="20"/>
          <w:color w:val="auto"/>
        </w:rPr>
      </w:pPr>
    </w:p>
    <w:p>
      <w:pPr>
        <w:ind w:right="260" w:firstLine="490"/>
        <w:spacing w:after="0" w:line="234" w:lineRule="auto"/>
        <w:rPr>
          <w:sz w:val="20"/>
          <w:szCs w:val="20"/>
          <w:color w:val="auto"/>
        </w:rPr>
      </w:pPr>
      <w:r>
        <w:rPr>
          <w:rFonts w:ascii="Times New Roman" w:cs="Times New Roman" w:eastAsia="Times New Roman" w:hAnsi="Times New Roman"/>
          <w:sz w:val="20"/>
          <w:szCs w:val="20"/>
          <w:color w:val="auto"/>
        </w:rPr>
        <w:t>GEN Restaurant Group, Inc. (“GEN Inc.”) was formed as a Delaware corporation on October 28, 2021 and is based in Cerritos, California. As the managing member of the Operating Company, GEN Inc. operates and controls all of the business and affairs of the Operating Company, and through the Operating Company and its consolidated subsidiaries, conducts its business. Unless the context otherwise requires, references to the “Company” refer to GEN Inc., and its consolidated subsidiaries, including the Operating Company.</w:t>
      </w:r>
    </w:p>
    <w:p>
      <w:pPr>
        <w:spacing w:after="0" w:line="188" w:lineRule="exact"/>
        <w:rPr>
          <w:sz w:val="20"/>
          <w:szCs w:val="20"/>
          <w:color w:val="auto"/>
        </w:rPr>
      </w:pPr>
    </w:p>
    <w:p>
      <w:pPr>
        <w:ind w:right="300" w:firstLine="490"/>
        <w:spacing w:after="0" w:line="261" w:lineRule="auto"/>
        <w:rPr>
          <w:sz w:val="20"/>
          <w:szCs w:val="20"/>
          <w:color w:val="auto"/>
        </w:rPr>
      </w:pPr>
      <w:r>
        <w:rPr>
          <w:rFonts w:ascii="Times New Roman" w:cs="Times New Roman" w:eastAsia="Times New Roman" w:hAnsi="Times New Roman"/>
          <w:sz w:val="20"/>
          <w:szCs w:val="20"/>
          <w:color w:val="auto"/>
        </w:rPr>
        <w:t>On June 30, 2023, the Company completed an initial public offering (the “IPO”) of 4,140,000 shares of Class A common stock at $12.00 per share that generated an aggregate net proceeds of $46.2 million.</w:t>
      </w:r>
    </w:p>
    <w:p>
      <w:pPr>
        <w:spacing w:after="0" w:line="297" w:lineRule="exact"/>
        <w:rPr>
          <w:sz w:val="20"/>
          <w:szCs w:val="20"/>
          <w:color w:val="auto"/>
        </w:rPr>
      </w:pPr>
    </w:p>
    <w:p>
      <w:pPr>
        <w:ind w:left="480" w:hanging="480"/>
        <w:spacing w:after="0"/>
        <w:tabs>
          <w:tab w:leader="none" w:pos="480" w:val="left"/>
        </w:tabs>
        <w:numPr>
          <w:ilvl w:val="0"/>
          <w:numId w:val="27"/>
        </w:numPr>
        <w:rPr>
          <w:rFonts w:ascii="Times New Roman" w:cs="Times New Roman" w:eastAsia="Times New Roman" w:hAnsi="Times New Roman"/>
          <w:sz w:val="20"/>
          <w:szCs w:val="20"/>
          <w:b w:val="1"/>
          <w:bCs w:val="1"/>
          <w:color w:val="292929"/>
        </w:rPr>
      </w:pPr>
      <w:r>
        <w:rPr>
          <w:rFonts w:ascii="Times New Roman" w:cs="Times New Roman" w:eastAsia="Times New Roman" w:hAnsi="Times New Roman"/>
          <w:sz w:val="20"/>
          <w:szCs w:val="20"/>
          <w:b w:val="1"/>
          <w:bCs w:val="1"/>
          <w:color w:val="auto"/>
        </w:rPr>
        <w:t>Basis of Presentation and Summary of Significant Accounting Policies</w:t>
      </w:r>
    </w:p>
    <w:p>
      <w:pPr>
        <w:spacing w:after="0" w:line="124" w:lineRule="exact"/>
        <w:rPr>
          <w:rFonts w:ascii="Times New Roman" w:cs="Times New Roman" w:eastAsia="Times New Roman" w:hAnsi="Times New Roman"/>
          <w:sz w:val="20"/>
          <w:szCs w:val="20"/>
          <w:b w:val="1"/>
          <w:bCs w:val="1"/>
          <w:color w:val="292929"/>
        </w:rPr>
      </w:pPr>
    </w:p>
    <w:p>
      <w:pPr>
        <w:ind w:left="1200" w:hanging="480"/>
        <w:spacing w:after="0"/>
        <w:tabs>
          <w:tab w:leader="none" w:pos="1200" w:val="left"/>
        </w:tabs>
        <w:numPr>
          <w:ilvl w:val="1"/>
          <w:numId w:val="2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Basis of Presentation</w:t>
      </w:r>
    </w:p>
    <w:p>
      <w:pPr>
        <w:spacing w:after="0" w:line="120"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color w:val="auto"/>
        </w:rPr>
        <w:t>The accompanying consolidated financial statements of the Company, collectively, have been prepared in accordance with accounting principles generally accepted in the United States of America (“GAAP”) and applicable rules and regulations of the Securities and Exchange Commission (“SEC”).</w:t>
      </w:r>
    </w:p>
    <w:p>
      <w:pPr>
        <w:spacing w:after="0" w:line="308" w:lineRule="exact"/>
        <w:rPr>
          <w:sz w:val="20"/>
          <w:szCs w:val="20"/>
          <w:color w:val="auto"/>
        </w:rPr>
      </w:pPr>
    </w:p>
    <w:p>
      <w:pPr>
        <w:ind w:left="1200" w:hanging="480"/>
        <w:spacing w:after="0"/>
        <w:tabs>
          <w:tab w:leader="none" w:pos="1200" w:val="left"/>
        </w:tabs>
        <w:numPr>
          <w:ilvl w:val="0"/>
          <w:numId w:val="2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Recently Issued Accounting Pronouncements</w:t>
      </w:r>
    </w:p>
    <w:p>
      <w:pPr>
        <w:spacing w:after="0" w:line="120" w:lineRule="exact"/>
        <w:rPr>
          <w:sz w:val="20"/>
          <w:szCs w:val="20"/>
          <w:color w:val="auto"/>
        </w:rPr>
      </w:pPr>
    </w:p>
    <w:p>
      <w:pPr>
        <w:ind w:right="200" w:firstLine="490"/>
        <w:spacing w:after="0" w:line="247" w:lineRule="auto"/>
        <w:rPr>
          <w:sz w:val="20"/>
          <w:szCs w:val="20"/>
          <w:color w:val="auto"/>
        </w:rPr>
      </w:pPr>
      <w:r>
        <w:rPr>
          <w:rFonts w:ascii="Times New Roman" w:cs="Times New Roman" w:eastAsia="Times New Roman" w:hAnsi="Times New Roman"/>
          <w:sz w:val="20"/>
          <w:szCs w:val="20"/>
          <w:color w:val="auto"/>
        </w:rPr>
        <w:t>In December 2025, the Financial Accounting Standards Board (“FASB”) issued Accounting Standards Update (“ASU”) 2025-11, Narrow-Scope Improvements (Topic 270): Interim Reporting. This update makes targeted, narrow-scope improvements to underlying principles of interim reporting. The amendments in this ASU are effective for interim reporting periods within annual reporting periods beginning after December 15, 2027. The Company is in the process of evaluating the impact that the adoption of this ASU will have on the consolidated financial statements and related disclosures.</w:t>
      </w:r>
    </w:p>
    <w:p>
      <w:pPr>
        <w:spacing w:after="0" w:line="80"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auto"/>
        </w:rPr>
        <w:t>In November 2024, FASB issued ASU 2024-03, “Disaggregation of Income Statement Expenses” and in January 2025, the FASB issued ASU 2025-01, “Income Statement - Reporting Comprehensive Income - Expense Disaggregation Disclosures”, which requires public companies additional disclosure of the nature of expenses included in the income statement as well as disclosures about specific type of expense included in the expense captions presented in the income statement. ASU 2024-03, as clarified by ASU 2025-01, is effective for fiscal years</w:t>
      </w:r>
    </w:p>
    <w:p>
      <w:pPr>
        <w:spacing w:after="0" w:line="28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292929"/>
        </w:rPr>
        <w:t>F-10</w:t>
      </w:r>
    </w:p>
    <w:p>
      <w:pPr>
        <w:sectPr>
          <w:pgSz w:w="12240" w:h="15840" w:orient="portrait"/>
          <w:cols w:equalWidth="0" w:num="1">
            <w:col w:w="9540"/>
          </w:cols>
          <w:pgMar w:left="1260" w:top="224" w:right="1440" w:bottom="67" w:gutter="0" w:footer="0" w:header="0"/>
        </w:sectPr>
      </w:pPr>
    </w:p>
    <w:bookmarkStart w:id="76" w:name="page77"/>
    <w:bookmarkEnd w:id="76"/>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GEN RESTAURANT GROUP, INC.</w:t>
      </w:r>
    </w:p>
    <w:p>
      <w:pPr>
        <w:spacing w:after="0" w:line="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b w:val="1"/>
          <w:bCs w:val="1"/>
          <w:color w:val="292929"/>
        </w:rPr>
        <w:t>Notes to Consolidated Financial Statements</w:t>
      </w:r>
    </w:p>
    <w:p>
      <w:pPr>
        <w:jc w:val="center"/>
        <w:ind w:right="160"/>
        <w:spacing w:after="0"/>
        <w:rPr>
          <w:sz w:val="20"/>
          <w:szCs w:val="20"/>
          <w:color w:val="auto"/>
        </w:rPr>
      </w:pPr>
      <w:r>
        <w:rPr>
          <w:rFonts w:ascii="Times New Roman" w:cs="Times New Roman" w:eastAsia="Times New Roman" w:hAnsi="Times New Roman"/>
          <w:sz w:val="20"/>
          <w:szCs w:val="20"/>
          <w:b w:val="1"/>
          <w:bCs w:val="1"/>
          <w:color w:val="292929"/>
        </w:rPr>
        <w:t>December 31, 2025 and 2024</w:t>
      </w:r>
    </w:p>
    <w:p>
      <w:pPr>
        <w:spacing w:after="0" w:line="295"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color w:val="auto"/>
        </w:rPr>
        <w:t>beginning after December 15, 2026. The Company is in the process of evaluating the impact that the adoption of this ASU will have on the consolidated financial statements and related disclosures.</w:t>
      </w:r>
    </w:p>
    <w:p>
      <w:pPr>
        <w:spacing w:after="0" w:line="169" w:lineRule="exact"/>
        <w:rPr>
          <w:sz w:val="20"/>
          <w:szCs w:val="20"/>
          <w:color w:val="auto"/>
        </w:rPr>
      </w:pPr>
    </w:p>
    <w:p>
      <w:pPr>
        <w:jc w:val="both"/>
        <w:ind w:right="320" w:firstLine="490"/>
        <w:spacing w:after="0" w:line="258" w:lineRule="auto"/>
        <w:rPr>
          <w:sz w:val="20"/>
          <w:szCs w:val="20"/>
          <w:color w:val="auto"/>
        </w:rPr>
      </w:pPr>
      <w:r>
        <w:rPr>
          <w:rFonts w:ascii="Times New Roman" w:cs="Times New Roman" w:eastAsia="Times New Roman" w:hAnsi="Times New Roman"/>
          <w:sz w:val="20"/>
          <w:szCs w:val="20"/>
          <w:color w:val="auto"/>
        </w:rPr>
        <w:t>In December 2023, the FASB issued ASU 2023-09, “</w:t>
      </w:r>
      <w:r>
        <w:rPr>
          <w:rFonts w:ascii="Times New Roman" w:cs="Times New Roman" w:eastAsia="Times New Roman" w:hAnsi="Times New Roman"/>
          <w:sz w:val="20"/>
          <w:szCs w:val="20"/>
          <w:i w:val="1"/>
          <w:iCs w:val="1"/>
          <w:color w:val="auto"/>
        </w:rPr>
        <w:t>Income Taxes (Topic 740),</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Improvement for Income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Tax Disclosure</w:t>
      </w:r>
      <w:r>
        <w:rPr>
          <w:rFonts w:ascii="Times New Roman" w:cs="Times New Roman" w:eastAsia="Times New Roman" w:hAnsi="Times New Roman"/>
          <w:sz w:val="20"/>
          <w:szCs w:val="20"/>
          <w:color w:val="auto"/>
        </w:rPr>
        <w:t>,” which is effective for fiscal years beginning after December 15, 2024. The Company adopted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ASU 2023-09 using the prospective approach for 2025.</w:t>
      </w:r>
    </w:p>
    <w:p>
      <w:pPr>
        <w:spacing w:after="0" w:line="308" w:lineRule="exact"/>
        <w:rPr>
          <w:sz w:val="20"/>
          <w:szCs w:val="20"/>
          <w:color w:val="auto"/>
        </w:rPr>
      </w:pPr>
    </w:p>
    <w:p>
      <w:pPr>
        <w:ind w:left="1200" w:hanging="480"/>
        <w:spacing w:after="0"/>
        <w:tabs>
          <w:tab w:leader="none" w:pos="1200" w:val="left"/>
        </w:tabs>
        <w:numPr>
          <w:ilvl w:val="0"/>
          <w:numId w:val="2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Use of Estimates</w:t>
      </w:r>
    </w:p>
    <w:p>
      <w:pPr>
        <w:spacing w:after="0" w:line="120" w:lineRule="exact"/>
        <w:rPr>
          <w:sz w:val="20"/>
          <w:szCs w:val="20"/>
          <w:color w:val="auto"/>
        </w:rPr>
      </w:pPr>
    </w:p>
    <w:p>
      <w:pPr>
        <w:ind w:right="220" w:firstLine="490"/>
        <w:spacing w:after="0" w:line="252"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the Company to make estimates and assumptions that affect the reported amounts of assets and liabilities in the accompanying consolidated financial statements of the Company. The accompanying consolidated financial statements have been prepared in conformity with GAAP and applicable rules, and regulations of the SEC.</w:t>
      </w:r>
    </w:p>
    <w:p>
      <w:pPr>
        <w:spacing w:after="0" w:line="314" w:lineRule="exact"/>
        <w:rPr>
          <w:sz w:val="20"/>
          <w:szCs w:val="20"/>
          <w:color w:val="auto"/>
        </w:rPr>
      </w:pPr>
    </w:p>
    <w:p>
      <w:pPr>
        <w:ind w:left="1200" w:hanging="480"/>
        <w:spacing w:after="0"/>
        <w:tabs>
          <w:tab w:leader="none" w:pos="1200" w:val="left"/>
        </w:tabs>
        <w:numPr>
          <w:ilvl w:val="0"/>
          <w:numId w:val="3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Equity-Based Compensation</w:t>
      </w:r>
    </w:p>
    <w:p>
      <w:pPr>
        <w:spacing w:after="0" w:line="120" w:lineRule="exact"/>
        <w:rPr>
          <w:sz w:val="20"/>
          <w:szCs w:val="20"/>
          <w:color w:val="auto"/>
        </w:rPr>
      </w:pPr>
    </w:p>
    <w:p>
      <w:pPr>
        <w:ind w:right="460" w:firstLine="490"/>
        <w:spacing w:after="0" w:line="277" w:lineRule="auto"/>
        <w:rPr>
          <w:sz w:val="20"/>
          <w:szCs w:val="20"/>
          <w:color w:val="auto"/>
        </w:rPr>
      </w:pPr>
      <w:r>
        <w:rPr>
          <w:rFonts w:ascii="Times New Roman" w:cs="Times New Roman" w:eastAsia="Times New Roman" w:hAnsi="Times New Roman"/>
          <w:sz w:val="20"/>
          <w:szCs w:val="20"/>
          <w:color w:val="auto"/>
        </w:rPr>
        <w:t>The Company accounts for equity-based compensation grants of equity awards to employees in accordance with ASC Topic 718, “</w:t>
      </w:r>
      <w:r>
        <w:rPr>
          <w:rFonts w:ascii="Times New Roman" w:cs="Times New Roman" w:eastAsia="Times New Roman" w:hAnsi="Times New Roman"/>
          <w:sz w:val="20"/>
          <w:szCs w:val="20"/>
          <w:i w:val="1"/>
          <w:iCs w:val="1"/>
          <w:color w:val="auto"/>
        </w:rPr>
        <w:t>Stock Based Compensation”</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ind w:right="280" w:firstLine="490"/>
        <w:spacing w:after="0" w:line="247" w:lineRule="auto"/>
        <w:rPr>
          <w:sz w:val="20"/>
          <w:szCs w:val="20"/>
          <w:color w:val="auto"/>
        </w:rPr>
      </w:pPr>
      <w:r>
        <w:rPr>
          <w:rFonts w:ascii="Times New Roman" w:cs="Times New Roman" w:eastAsia="Times New Roman" w:hAnsi="Times New Roman"/>
          <w:sz w:val="20"/>
          <w:szCs w:val="20"/>
          <w:color w:val="auto"/>
        </w:rPr>
        <w:t>The Company estimates the fair value of the restricted stock units on the grant-date and recognizes the resulting fair value over the requisite service period. The fair value of each restricted stock unit or award is determined based upon the value of the common stock granted or sold. The Company has elected to treat stock-based awards with graded vesting schedules and time-based service conditions as a single award and recognizes stock-based compensation on a straight-line basis over the requisite service period. Forfeitures are accounted for as they occur.</w:t>
      </w:r>
    </w:p>
    <w:p>
      <w:pPr>
        <w:spacing w:after="0" w:line="320" w:lineRule="exact"/>
        <w:rPr>
          <w:sz w:val="20"/>
          <w:szCs w:val="20"/>
          <w:color w:val="auto"/>
        </w:rPr>
      </w:pPr>
    </w:p>
    <w:p>
      <w:pPr>
        <w:ind w:left="1200" w:hanging="480"/>
        <w:spacing w:after="0"/>
        <w:tabs>
          <w:tab w:leader="none" w:pos="1200" w:val="left"/>
        </w:tabs>
        <w:numPr>
          <w:ilvl w:val="0"/>
          <w:numId w:val="3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120" w:lineRule="exact"/>
        <w:rPr>
          <w:sz w:val="20"/>
          <w:szCs w:val="20"/>
          <w:color w:val="auto"/>
        </w:rPr>
      </w:pPr>
    </w:p>
    <w:p>
      <w:pPr>
        <w:ind w:right="280" w:firstLine="490"/>
        <w:spacing w:after="0" w:line="247" w:lineRule="auto"/>
        <w:rPr>
          <w:sz w:val="20"/>
          <w:szCs w:val="20"/>
          <w:color w:val="auto"/>
        </w:rPr>
      </w:pPr>
      <w:r>
        <w:rPr>
          <w:rFonts w:ascii="Times New Roman" w:cs="Times New Roman" w:eastAsia="Times New Roman" w:hAnsi="Times New Roman"/>
          <w:sz w:val="20"/>
          <w:szCs w:val="20"/>
          <w:color w:val="auto"/>
        </w:rPr>
        <w:t>The Company and its related entities consider all highly liquid instruments with a maturity of three months or less when purchased to be cash equivalents. As of December 31, 2025 and 2024, cash and cash equivalents consist principally of cash, money market accounts and short-term investments. Short-term investments are carried at fair value, with changes in fair value reported in earnings. Cash equivalents also include credit card transactions in transit. As of December 31, 2025 and December 31, 2024, there were deposits in excess of federally insured amounts of $0.8 million and $2.9 million, respectively.</w:t>
      </w:r>
    </w:p>
    <w:p>
      <w:pPr>
        <w:sectPr>
          <w:pgSz w:w="12240" w:h="15840" w:orient="portrait"/>
          <w:cols w:equalWidth="0" w:num="1">
            <w:col w:w="9540"/>
          </w:cols>
          <w:pgMar w:left="1260" w:top="224" w:right="1440" w:bottom="6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292929"/>
        </w:rPr>
        <w:t>F-11</w:t>
      </w:r>
    </w:p>
    <w:p>
      <w:pPr>
        <w:sectPr>
          <w:pgSz w:w="12240" w:h="15840" w:orient="portrait"/>
          <w:cols w:equalWidth="0" w:num="1">
            <w:col w:w="9540"/>
          </w:cols>
          <w:pgMar w:left="1260" w:top="224" w:right="1440" w:bottom="67" w:gutter="0" w:footer="0" w:header="0"/>
          <w:type w:val="continuous"/>
        </w:sectPr>
      </w:pPr>
    </w:p>
    <w:bookmarkStart w:id="77" w:name="page78"/>
    <w:bookmarkEnd w:id="77"/>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GEN RESTAURANT GROUP, INC.</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Notes to Consolidated Financial Statements</w:t>
      </w: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December 31, 2025 and 2024</w:t>
      </w:r>
    </w:p>
    <w:p>
      <w:pPr>
        <w:spacing w:after="0" w:line="34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Fair Value Measurements at December 31, 2025</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Value/Amortiz</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9"/>
              </w:rPr>
              <w:t>ed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Pr>
          <w:p>
            <w:pPr>
              <w:spacing w:after="0"/>
              <w:rPr>
                <w:sz w:val="17"/>
                <w:szCs w:val="17"/>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3"/>
        </w:trPr>
        <w:tc>
          <w:tcPr>
            <w:tcW w:w="464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640" w:type="dxa"/>
            <w:vAlign w:val="bottom"/>
            <w:shd w:val="clear" w:color="auto" w:fill="EAEAEA"/>
          </w:tcPr>
          <w:p>
            <w:pPr>
              <w:ind w:left="60"/>
              <w:spacing w:after="0" w:line="225" w:lineRule="exact"/>
              <w:rPr>
                <w:sz w:val="20"/>
                <w:szCs w:val="20"/>
                <w:color w:val="auto"/>
              </w:rPr>
            </w:pPr>
            <w:r>
              <w:rPr>
                <w:rFonts w:ascii="Times New Roman" w:cs="Times New Roman" w:eastAsia="Times New Roman" w:hAnsi="Times New Roman"/>
                <w:sz w:val="20"/>
                <w:szCs w:val="20"/>
                <w:color w:val="auto"/>
              </w:rPr>
              <w:t>Money Market Accounts (included in cash and cash</w:t>
            </w:r>
          </w:p>
        </w:tc>
        <w:tc>
          <w:tcPr>
            <w:tcW w:w="160" w:type="dxa"/>
            <w:vAlign w:val="bottom"/>
            <w:shd w:val="clear" w:color="auto" w:fill="EAEAEA"/>
          </w:tcPr>
          <w:p>
            <w:pPr>
              <w:spacing w:after="0"/>
              <w:rPr>
                <w:sz w:val="19"/>
                <w:szCs w:val="19"/>
                <w:color w:val="auto"/>
              </w:rPr>
            </w:pPr>
          </w:p>
        </w:tc>
        <w:tc>
          <w:tcPr>
            <w:tcW w:w="940" w:type="dxa"/>
            <w:vAlign w:val="bottom"/>
            <w:shd w:val="clear" w:color="auto" w:fill="EAEAEA"/>
          </w:tcPr>
          <w:p>
            <w:pPr>
              <w:spacing w:after="0"/>
              <w:rPr>
                <w:sz w:val="19"/>
                <w:szCs w:val="19"/>
                <w:color w:val="auto"/>
              </w:rPr>
            </w:pPr>
          </w:p>
        </w:tc>
        <w:tc>
          <w:tcPr>
            <w:tcW w:w="20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880" w:type="dxa"/>
            <w:vAlign w:val="bottom"/>
            <w:shd w:val="clear" w:color="auto" w:fill="EAEAEA"/>
          </w:tcPr>
          <w:p>
            <w:pPr>
              <w:spacing w:after="0"/>
              <w:rPr>
                <w:sz w:val="19"/>
                <w:szCs w:val="19"/>
                <w:color w:val="auto"/>
              </w:rPr>
            </w:pPr>
          </w:p>
        </w:tc>
        <w:tc>
          <w:tcPr>
            <w:tcW w:w="20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88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840" w:type="dxa"/>
            <w:vAlign w:val="bottom"/>
            <w:tcBorders>
              <w:right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6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equivalents)</w:t>
            </w:r>
          </w:p>
        </w:tc>
        <w:tc>
          <w:tcPr>
            <w:tcW w:w="1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1,058</w:t>
            </w:r>
          </w:p>
        </w:tc>
        <w:tc>
          <w:tcPr>
            <w:tcW w:w="30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AEAEA"/>
          </w:tcPr>
          <w:p>
            <w:pPr>
              <w:ind w:left="680"/>
              <w:spacing w:after="0"/>
              <w:rPr>
                <w:sz w:val="20"/>
                <w:szCs w:val="20"/>
                <w:color w:val="auto"/>
              </w:rPr>
            </w:pPr>
            <w:r>
              <w:rPr>
                <w:rFonts w:ascii="Times New Roman" w:cs="Times New Roman" w:eastAsia="Times New Roman" w:hAnsi="Times New Roman"/>
                <w:sz w:val="20"/>
                <w:szCs w:val="20"/>
                <w:color w:val="auto"/>
                <w:w w:val="89"/>
              </w:rPr>
              <w:t>—</w:t>
            </w:r>
          </w:p>
        </w:tc>
        <w:tc>
          <w:tcPr>
            <w:tcW w:w="420" w:type="dxa"/>
            <w:vAlign w:val="bottom"/>
            <w:gridSpan w:val="3"/>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right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1,058</w:t>
            </w:r>
          </w:p>
        </w:tc>
        <w:tc>
          <w:tcPr>
            <w:tcW w:w="0" w:type="dxa"/>
            <w:vAlign w:val="bottom"/>
          </w:tcPr>
          <w:p>
            <w:pPr>
              <w:spacing w:after="0"/>
              <w:rPr>
                <w:sz w:val="1"/>
                <w:szCs w:val="1"/>
                <w:color w:val="auto"/>
              </w:rPr>
            </w:pPr>
          </w:p>
        </w:tc>
      </w:tr>
      <w:tr>
        <w:trPr>
          <w:trHeight w:val="220"/>
        </w:trPr>
        <w:tc>
          <w:tcPr>
            <w:tcW w:w="46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U.S. Treasury Securities (included in cash and cash</w:t>
            </w: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ind w:left="680"/>
              <w:spacing w:after="0"/>
              <w:rPr>
                <w:sz w:val="20"/>
                <w:szCs w:val="20"/>
                <w:color w:val="auto"/>
              </w:rPr>
            </w:pPr>
            <w:r>
              <w:rPr>
                <w:rFonts w:ascii="Times New Roman" w:cs="Times New Roman" w:eastAsia="Times New Roman" w:hAnsi="Times New Roman"/>
                <w:sz w:val="20"/>
                <w:szCs w:val="20"/>
                <w:color w:val="auto"/>
                <w:w w:val="89"/>
              </w:rPr>
              <w:t>—</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0" w:type="dxa"/>
            <w:vAlign w:val="bottom"/>
          </w:tcPr>
          <w:p>
            <w:pPr>
              <w:spacing w:after="0"/>
              <w:rPr>
                <w:sz w:val="1"/>
                <w:szCs w:val="1"/>
                <w:color w:val="auto"/>
              </w:rPr>
            </w:pPr>
          </w:p>
        </w:tc>
      </w:tr>
      <w:tr>
        <w:trPr>
          <w:trHeight w:val="239"/>
        </w:trPr>
        <w:tc>
          <w:tcPr>
            <w:tcW w:w="4640" w:type="dxa"/>
            <w:vAlign w:val="bottom"/>
            <w:tcBorders>
              <w:top w:val="single" w:sz="8" w:color="EAEAEA"/>
            </w:tcBorders>
            <w:shd w:val="clear" w:color="auto" w:fill="EAEAEA"/>
          </w:tcPr>
          <w:p>
            <w:pPr>
              <w:spacing w:after="0"/>
              <w:rPr>
                <w:sz w:val="20"/>
                <w:szCs w:val="20"/>
                <w:color w:val="auto"/>
              </w:rPr>
            </w:pPr>
          </w:p>
        </w:tc>
        <w:tc>
          <w:tcPr>
            <w:tcW w:w="16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1,058</w:t>
            </w:r>
          </w:p>
        </w:tc>
        <w:tc>
          <w:tcPr>
            <w:tcW w:w="200" w:type="dxa"/>
            <w:vAlign w:val="bottom"/>
            <w:tcBorders>
              <w:top w:val="single" w:sz="8" w:color="EAEAEA"/>
            </w:tcBorders>
            <w:shd w:val="clear" w:color="auto" w:fill="EAEAEA"/>
          </w:tcPr>
          <w:p>
            <w:pPr>
              <w:spacing w:after="0"/>
              <w:rPr>
                <w:sz w:val="20"/>
                <w:szCs w:val="20"/>
                <w:color w:val="auto"/>
              </w:rPr>
            </w:pPr>
          </w:p>
        </w:tc>
        <w:tc>
          <w:tcPr>
            <w:tcW w:w="10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200" w:type="dxa"/>
            <w:vAlign w:val="bottom"/>
            <w:tcBorders>
              <w:top w:val="single" w:sz="8" w:color="EAEAEA"/>
            </w:tcBorders>
            <w:shd w:val="clear" w:color="auto" w:fill="EAEAEA"/>
          </w:tcPr>
          <w:p>
            <w:pPr>
              <w:spacing w:after="0"/>
              <w:rPr>
                <w:sz w:val="20"/>
                <w:szCs w:val="20"/>
                <w:color w:val="auto"/>
              </w:rPr>
            </w:pPr>
          </w:p>
        </w:tc>
        <w:tc>
          <w:tcPr>
            <w:tcW w:w="10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shd w:val="clear" w:color="auto" w:fill="EAEAEA"/>
          </w:tcPr>
          <w:p>
            <w:pPr>
              <w:ind w:left="680"/>
              <w:spacing w:after="0"/>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tcBorders>
              <w:top w:val="single" w:sz="8" w:color="EAEAEA"/>
            </w:tcBorders>
            <w:shd w:val="clear" w:color="auto" w:fill="EAEAEA"/>
          </w:tcPr>
          <w:p>
            <w:pPr>
              <w:spacing w:after="0"/>
              <w:rPr>
                <w:sz w:val="20"/>
                <w:szCs w:val="20"/>
                <w:color w:val="auto"/>
              </w:rPr>
            </w:pPr>
          </w:p>
        </w:tc>
        <w:tc>
          <w:tcPr>
            <w:tcW w:w="100" w:type="dxa"/>
            <w:vAlign w:val="bottom"/>
            <w:tcBorders>
              <w:top w:val="single" w:sz="8" w:color="EAEAEA"/>
              <w:bottom w:val="single" w:sz="8" w:color="EAEAEA"/>
            </w:tcBorders>
            <w:shd w:val="clear" w:color="auto" w:fill="EAEAEA"/>
          </w:tcPr>
          <w:p>
            <w:pPr>
              <w:spacing w:after="0"/>
              <w:rPr>
                <w:sz w:val="20"/>
                <w:szCs w:val="20"/>
                <w:color w:val="auto"/>
              </w:rPr>
            </w:pPr>
          </w:p>
        </w:tc>
        <w:tc>
          <w:tcPr>
            <w:tcW w:w="220" w:type="dxa"/>
            <w:vAlign w:val="bottom"/>
            <w:tcBorders>
              <w:top w:val="single" w:sz="8" w:color="auto"/>
              <w:bottom w:val="single" w:sz="8" w:color="auto"/>
            </w:tcBorders>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bottom w:val="single" w:sz="8" w:color="auto"/>
              <w:right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1,113</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EAEAEA"/>
            </w:tcBorders>
            <w:shd w:val="clear" w:color="auto" w:fill="EAEAEA"/>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EA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220" w:type="dxa"/>
            <w:vAlign w:val="bottom"/>
            <w:shd w:val="clear" w:color="auto" w:fill="EAEAEA"/>
          </w:tcPr>
          <w:p>
            <w:pPr>
              <w:spacing w:after="0"/>
              <w:rPr>
                <w:sz w:val="21"/>
                <w:szCs w:val="21"/>
                <w:color w:val="auto"/>
              </w:rPr>
            </w:pPr>
          </w:p>
        </w:tc>
        <w:tc>
          <w:tcPr>
            <w:tcW w:w="840" w:type="dxa"/>
            <w:vAlign w:val="bottom"/>
            <w:tcBorders>
              <w:right w:val="single" w:sz="8" w:color="EAEAEA"/>
            </w:tcBorders>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4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560" w:type="dxa"/>
            <w:vAlign w:val="bottom"/>
            <w:gridSpan w:val="11"/>
          </w:tcPr>
          <w:p>
            <w:pPr>
              <w:jc w:val="right"/>
              <w:ind w:right="465"/>
              <w:spacing w:after="0"/>
              <w:rPr>
                <w:sz w:val="20"/>
                <w:szCs w:val="20"/>
                <w:color w:val="auto"/>
              </w:rPr>
            </w:pPr>
            <w:r>
              <w:rPr>
                <w:rFonts w:ascii="Times New Roman" w:cs="Times New Roman" w:eastAsia="Times New Roman" w:hAnsi="Times New Roman"/>
                <w:sz w:val="18"/>
                <w:szCs w:val="18"/>
                <w:b w:val="1"/>
                <w:bCs w:val="1"/>
                <w:color w:val="auto"/>
              </w:rPr>
              <w:t>Fair Value Measurements at December 31, 2024</w:t>
            </w: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Value/Amortiz</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9"/>
              </w:rPr>
              <w:t>ed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3"/>
        </w:trPr>
        <w:tc>
          <w:tcPr>
            <w:tcW w:w="4640" w:type="dxa"/>
            <w:vAlign w:val="bottom"/>
            <w:tcBorders>
              <w:top w:val="single" w:sz="8" w:color="EAEAEA"/>
            </w:tcBorders>
            <w:shd w:val="clear" w:color="auto" w:fill="EAEAEA"/>
          </w:tcPr>
          <w:p>
            <w:pPr>
              <w:spacing w:after="0"/>
              <w:rPr>
                <w:sz w:val="16"/>
                <w:szCs w:val="16"/>
                <w:color w:val="auto"/>
              </w:rPr>
            </w:pPr>
          </w:p>
        </w:tc>
        <w:tc>
          <w:tcPr>
            <w:tcW w:w="160" w:type="dxa"/>
            <w:vAlign w:val="bottom"/>
            <w:tcBorders>
              <w:top w:val="single" w:sz="8" w:color="auto"/>
            </w:tcBorders>
            <w:shd w:val="clear" w:color="auto" w:fill="EAEAEA"/>
          </w:tcPr>
          <w:p>
            <w:pPr>
              <w:spacing w:after="0"/>
              <w:rPr>
                <w:sz w:val="16"/>
                <w:szCs w:val="16"/>
                <w:color w:val="auto"/>
              </w:rPr>
            </w:pPr>
          </w:p>
        </w:tc>
        <w:tc>
          <w:tcPr>
            <w:tcW w:w="940" w:type="dxa"/>
            <w:vAlign w:val="bottom"/>
            <w:tcBorders>
              <w:top w:val="single" w:sz="8" w:color="auto"/>
            </w:tcBorders>
            <w:shd w:val="clear" w:color="auto" w:fill="EAEAEA"/>
          </w:tcPr>
          <w:p>
            <w:pPr>
              <w:spacing w:after="0"/>
              <w:rPr>
                <w:sz w:val="16"/>
                <w:szCs w:val="16"/>
                <w:color w:val="auto"/>
              </w:rPr>
            </w:pPr>
          </w:p>
        </w:tc>
        <w:tc>
          <w:tcPr>
            <w:tcW w:w="200" w:type="dxa"/>
            <w:vAlign w:val="bottom"/>
            <w:tcBorders>
              <w:top w:val="single" w:sz="8" w:color="EAEAEA"/>
            </w:tcBorders>
            <w:shd w:val="clear" w:color="auto" w:fill="EAEAEA"/>
          </w:tcPr>
          <w:p>
            <w:pPr>
              <w:spacing w:after="0"/>
              <w:rPr>
                <w:sz w:val="16"/>
                <w:szCs w:val="16"/>
                <w:color w:val="auto"/>
              </w:rPr>
            </w:pPr>
          </w:p>
        </w:tc>
        <w:tc>
          <w:tcPr>
            <w:tcW w:w="100" w:type="dxa"/>
            <w:vAlign w:val="bottom"/>
            <w:tcBorders>
              <w:top w:val="single" w:sz="8" w:color="auto"/>
            </w:tcBorders>
            <w:shd w:val="clear" w:color="auto" w:fill="EAEAEA"/>
          </w:tcPr>
          <w:p>
            <w:pPr>
              <w:spacing w:after="0"/>
              <w:rPr>
                <w:sz w:val="16"/>
                <w:szCs w:val="16"/>
                <w:color w:val="auto"/>
              </w:rPr>
            </w:pPr>
          </w:p>
        </w:tc>
        <w:tc>
          <w:tcPr>
            <w:tcW w:w="880" w:type="dxa"/>
            <w:vAlign w:val="bottom"/>
            <w:tcBorders>
              <w:top w:val="single" w:sz="8" w:color="auto"/>
            </w:tcBorders>
            <w:shd w:val="clear" w:color="auto" w:fill="EAEAEA"/>
          </w:tcPr>
          <w:p>
            <w:pPr>
              <w:spacing w:after="0"/>
              <w:rPr>
                <w:sz w:val="16"/>
                <w:szCs w:val="16"/>
                <w:color w:val="auto"/>
              </w:rPr>
            </w:pPr>
          </w:p>
        </w:tc>
        <w:tc>
          <w:tcPr>
            <w:tcW w:w="200" w:type="dxa"/>
            <w:vAlign w:val="bottom"/>
            <w:tcBorders>
              <w:top w:val="single" w:sz="8" w:color="EAEAEA"/>
            </w:tcBorders>
            <w:shd w:val="clear" w:color="auto" w:fill="EAEAEA"/>
          </w:tcPr>
          <w:p>
            <w:pPr>
              <w:spacing w:after="0"/>
              <w:rPr>
                <w:sz w:val="16"/>
                <w:szCs w:val="16"/>
                <w:color w:val="auto"/>
              </w:rPr>
            </w:pPr>
          </w:p>
        </w:tc>
        <w:tc>
          <w:tcPr>
            <w:tcW w:w="100" w:type="dxa"/>
            <w:vAlign w:val="bottom"/>
            <w:tcBorders>
              <w:top w:val="single" w:sz="8" w:color="auto"/>
            </w:tcBorders>
            <w:shd w:val="clear" w:color="auto" w:fill="EAEAEA"/>
          </w:tcPr>
          <w:p>
            <w:pPr>
              <w:spacing w:after="0"/>
              <w:rPr>
                <w:sz w:val="16"/>
                <w:szCs w:val="16"/>
                <w:color w:val="auto"/>
              </w:rPr>
            </w:pPr>
          </w:p>
        </w:tc>
        <w:tc>
          <w:tcPr>
            <w:tcW w:w="880" w:type="dxa"/>
            <w:vAlign w:val="bottom"/>
            <w:tcBorders>
              <w:top w:val="single" w:sz="8" w:color="auto"/>
            </w:tcBorders>
            <w:shd w:val="clear" w:color="auto" w:fill="EAEAEA"/>
          </w:tcPr>
          <w:p>
            <w:pPr>
              <w:spacing w:after="0"/>
              <w:rPr>
                <w:sz w:val="16"/>
                <w:szCs w:val="16"/>
                <w:color w:val="auto"/>
              </w:rPr>
            </w:pPr>
          </w:p>
        </w:tc>
        <w:tc>
          <w:tcPr>
            <w:tcW w:w="100" w:type="dxa"/>
            <w:vAlign w:val="bottom"/>
            <w:tcBorders>
              <w:top w:val="single" w:sz="8" w:color="EAEAEA"/>
            </w:tcBorders>
            <w:shd w:val="clear" w:color="auto" w:fill="EAEAEA"/>
          </w:tcPr>
          <w:p>
            <w:pPr>
              <w:spacing w:after="0"/>
              <w:rPr>
                <w:sz w:val="16"/>
                <w:szCs w:val="16"/>
                <w:color w:val="auto"/>
              </w:rPr>
            </w:pPr>
          </w:p>
        </w:tc>
        <w:tc>
          <w:tcPr>
            <w:tcW w:w="100" w:type="dxa"/>
            <w:vAlign w:val="bottom"/>
            <w:tcBorders>
              <w:top w:val="single" w:sz="8" w:color="EAEAEA"/>
            </w:tcBorders>
            <w:shd w:val="clear" w:color="auto" w:fill="EAEAEA"/>
          </w:tcPr>
          <w:p>
            <w:pPr>
              <w:spacing w:after="0"/>
              <w:rPr>
                <w:sz w:val="16"/>
                <w:szCs w:val="16"/>
                <w:color w:val="auto"/>
              </w:rPr>
            </w:pPr>
          </w:p>
        </w:tc>
        <w:tc>
          <w:tcPr>
            <w:tcW w:w="220" w:type="dxa"/>
            <w:vAlign w:val="bottom"/>
            <w:tcBorders>
              <w:top w:val="single" w:sz="8" w:color="auto"/>
            </w:tcBorders>
            <w:shd w:val="clear" w:color="auto" w:fill="EAEAEA"/>
          </w:tcPr>
          <w:p>
            <w:pPr>
              <w:spacing w:after="0"/>
              <w:rPr>
                <w:sz w:val="16"/>
                <w:szCs w:val="16"/>
                <w:color w:val="auto"/>
              </w:rPr>
            </w:pPr>
          </w:p>
        </w:tc>
        <w:tc>
          <w:tcPr>
            <w:tcW w:w="840" w:type="dxa"/>
            <w:vAlign w:val="bottom"/>
            <w:tcBorders>
              <w:top w:val="single" w:sz="8" w:color="auto"/>
              <w:right w:val="single" w:sz="8" w:color="EAEAEA"/>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640" w:type="dxa"/>
            <w:vAlign w:val="bottom"/>
          </w:tcPr>
          <w:p>
            <w:pPr>
              <w:ind w:left="60"/>
              <w:spacing w:after="0" w:line="225" w:lineRule="exact"/>
              <w:rPr>
                <w:sz w:val="20"/>
                <w:szCs w:val="20"/>
                <w:color w:val="auto"/>
              </w:rPr>
            </w:pPr>
            <w:r>
              <w:rPr>
                <w:rFonts w:ascii="Times New Roman" w:cs="Times New Roman" w:eastAsia="Times New Roman" w:hAnsi="Times New Roman"/>
                <w:sz w:val="20"/>
                <w:szCs w:val="20"/>
                <w:color w:val="auto"/>
              </w:rPr>
              <w:t>Money Market Accounts (included in cash and cash</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ind w:left="680"/>
              <w:spacing w:after="0"/>
              <w:rPr>
                <w:sz w:val="20"/>
                <w:szCs w:val="20"/>
                <w:color w:val="auto"/>
              </w:rPr>
            </w:pPr>
            <w:r>
              <w:rPr>
                <w:rFonts w:ascii="Times New Roman" w:cs="Times New Roman" w:eastAsia="Times New Roman" w:hAnsi="Times New Roman"/>
                <w:sz w:val="20"/>
                <w:szCs w:val="20"/>
                <w:color w:val="auto"/>
                <w:w w:val="89"/>
              </w:rPr>
              <w:t>—</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6,459</w:t>
            </w:r>
          </w:p>
        </w:tc>
        <w:tc>
          <w:tcPr>
            <w:tcW w:w="0" w:type="dxa"/>
            <w:vAlign w:val="bottom"/>
          </w:tcPr>
          <w:p>
            <w:pPr>
              <w:spacing w:after="0"/>
              <w:rPr>
                <w:sz w:val="1"/>
                <w:szCs w:val="1"/>
                <w:color w:val="auto"/>
              </w:rPr>
            </w:pPr>
          </w:p>
        </w:tc>
      </w:tr>
      <w:tr>
        <w:trPr>
          <w:trHeight w:val="220"/>
        </w:trPr>
        <w:tc>
          <w:tcPr>
            <w:tcW w:w="4640" w:type="dxa"/>
            <w:vAlign w:val="bottom"/>
            <w:tcBorders>
              <w:top w:val="single" w:sz="8" w:color="EAEAEA"/>
            </w:tcBorders>
            <w:shd w:val="clear" w:color="auto" w:fill="EAEAEA"/>
          </w:tcPr>
          <w:p>
            <w:pPr>
              <w:spacing w:after="0" w:line="220" w:lineRule="exact"/>
              <w:rPr>
                <w:sz w:val="20"/>
                <w:szCs w:val="20"/>
                <w:color w:val="auto"/>
              </w:rPr>
            </w:pPr>
            <w:r>
              <w:rPr>
                <w:rFonts w:ascii="Times New Roman" w:cs="Times New Roman" w:eastAsia="Times New Roman" w:hAnsi="Times New Roman"/>
                <w:sz w:val="20"/>
                <w:szCs w:val="20"/>
                <w:color w:val="auto"/>
              </w:rPr>
              <w:t>U.S. Treasury Securities (included in cash and cash</w:t>
            </w:r>
          </w:p>
        </w:tc>
        <w:tc>
          <w:tcPr>
            <w:tcW w:w="160" w:type="dxa"/>
            <w:vAlign w:val="bottom"/>
            <w:tcBorders>
              <w:top w:val="single" w:sz="8" w:color="auto"/>
            </w:tcBorders>
            <w:shd w:val="clear" w:color="auto" w:fill="EAEAEA"/>
          </w:tcPr>
          <w:p>
            <w:pPr>
              <w:spacing w:after="0"/>
              <w:rPr>
                <w:sz w:val="19"/>
                <w:szCs w:val="19"/>
                <w:color w:val="auto"/>
              </w:rPr>
            </w:pPr>
          </w:p>
        </w:tc>
        <w:tc>
          <w:tcPr>
            <w:tcW w:w="940" w:type="dxa"/>
            <w:vAlign w:val="bottom"/>
            <w:tcBorders>
              <w:top w:val="single" w:sz="8" w:color="auto"/>
            </w:tcBorders>
            <w:shd w:val="clear" w:color="auto" w:fill="EAEAEA"/>
          </w:tcPr>
          <w:p>
            <w:pPr>
              <w:spacing w:after="0"/>
              <w:rPr>
                <w:sz w:val="19"/>
                <w:szCs w:val="19"/>
                <w:color w:val="auto"/>
              </w:rPr>
            </w:pPr>
          </w:p>
        </w:tc>
        <w:tc>
          <w:tcPr>
            <w:tcW w:w="200" w:type="dxa"/>
            <w:vAlign w:val="bottom"/>
            <w:tcBorders>
              <w:top w:val="single" w:sz="8" w:color="EAEAEA"/>
            </w:tcBorders>
            <w:shd w:val="clear" w:color="auto" w:fill="EAEAEA"/>
          </w:tcPr>
          <w:p>
            <w:pPr>
              <w:spacing w:after="0"/>
              <w:rPr>
                <w:sz w:val="19"/>
                <w:szCs w:val="19"/>
                <w:color w:val="auto"/>
              </w:rPr>
            </w:pPr>
          </w:p>
        </w:tc>
        <w:tc>
          <w:tcPr>
            <w:tcW w:w="100" w:type="dxa"/>
            <w:vAlign w:val="bottom"/>
            <w:tcBorders>
              <w:top w:val="single" w:sz="8" w:color="auto"/>
            </w:tcBorders>
            <w:shd w:val="clear" w:color="auto" w:fill="EAEAEA"/>
          </w:tcPr>
          <w:p>
            <w:pPr>
              <w:spacing w:after="0"/>
              <w:rPr>
                <w:sz w:val="19"/>
                <w:szCs w:val="19"/>
                <w:color w:val="auto"/>
              </w:rPr>
            </w:pPr>
          </w:p>
        </w:tc>
        <w:tc>
          <w:tcPr>
            <w:tcW w:w="880" w:type="dxa"/>
            <w:vAlign w:val="bottom"/>
            <w:tcBorders>
              <w:top w:val="single" w:sz="8" w:color="auto"/>
            </w:tcBorders>
            <w:shd w:val="clear" w:color="auto" w:fill="EAEAEA"/>
          </w:tcPr>
          <w:p>
            <w:pPr>
              <w:spacing w:after="0"/>
              <w:rPr>
                <w:sz w:val="19"/>
                <w:szCs w:val="19"/>
                <w:color w:val="auto"/>
              </w:rPr>
            </w:pPr>
          </w:p>
        </w:tc>
        <w:tc>
          <w:tcPr>
            <w:tcW w:w="200" w:type="dxa"/>
            <w:vAlign w:val="bottom"/>
            <w:tcBorders>
              <w:top w:val="single" w:sz="8" w:color="EAEAEA"/>
            </w:tcBorders>
            <w:shd w:val="clear" w:color="auto" w:fill="EAEAEA"/>
          </w:tcPr>
          <w:p>
            <w:pPr>
              <w:spacing w:after="0"/>
              <w:rPr>
                <w:sz w:val="19"/>
                <w:szCs w:val="19"/>
                <w:color w:val="auto"/>
              </w:rPr>
            </w:pPr>
          </w:p>
        </w:tc>
        <w:tc>
          <w:tcPr>
            <w:tcW w:w="100" w:type="dxa"/>
            <w:vAlign w:val="bottom"/>
            <w:tcBorders>
              <w:top w:val="single" w:sz="8" w:color="auto"/>
            </w:tcBorders>
            <w:shd w:val="clear" w:color="auto" w:fill="EAEAEA"/>
          </w:tcPr>
          <w:p>
            <w:pPr>
              <w:spacing w:after="0"/>
              <w:rPr>
                <w:sz w:val="19"/>
                <w:szCs w:val="19"/>
                <w:color w:val="auto"/>
              </w:rPr>
            </w:pPr>
          </w:p>
        </w:tc>
        <w:tc>
          <w:tcPr>
            <w:tcW w:w="880" w:type="dxa"/>
            <w:vAlign w:val="bottom"/>
            <w:tcBorders>
              <w:top w:val="single" w:sz="8" w:color="auto"/>
            </w:tcBorders>
            <w:shd w:val="clear" w:color="auto" w:fill="EAEAEA"/>
          </w:tcPr>
          <w:p>
            <w:pPr>
              <w:spacing w:after="0"/>
              <w:rPr>
                <w:sz w:val="19"/>
                <w:szCs w:val="19"/>
                <w:color w:val="auto"/>
              </w:rPr>
            </w:pPr>
          </w:p>
        </w:tc>
        <w:tc>
          <w:tcPr>
            <w:tcW w:w="100" w:type="dxa"/>
            <w:vAlign w:val="bottom"/>
            <w:tcBorders>
              <w:top w:val="single" w:sz="8" w:color="EAEAEA"/>
            </w:tcBorders>
            <w:shd w:val="clear" w:color="auto" w:fill="EAEAEA"/>
          </w:tcPr>
          <w:p>
            <w:pPr>
              <w:spacing w:after="0"/>
              <w:rPr>
                <w:sz w:val="19"/>
                <w:szCs w:val="19"/>
                <w:color w:val="auto"/>
              </w:rPr>
            </w:pPr>
          </w:p>
        </w:tc>
        <w:tc>
          <w:tcPr>
            <w:tcW w:w="100" w:type="dxa"/>
            <w:vAlign w:val="bottom"/>
            <w:tcBorders>
              <w:top w:val="single" w:sz="8" w:color="EAEAEA"/>
            </w:tcBorders>
            <w:shd w:val="clear" w:color="auto" w:fill="EAEAEA"/>
          </w:tcPr>
          <w:p>
            <w:pPr>
              <w:spacing w:after="0"/>
              <w:rPr>
                <w:sz w:val="19"/>
                <w:szCs w:val="19"/>
                <w:color w:val="auto"/>
              </w:rPr>
            </w:pPr>
          </w:p>
        </w:tc>
        <w:tc>
          <w:tcPr>
            <w:tcW w:w="220" w:type="dxa"/>
            <w:vAlign w:val="bottom"/>
            <w:tcBorders>
              <w:top w:val="single" w:sz="8" w:color="auto"/>
            </w:tcBorders>
            <w:shd w:val="clear" w:color="auto" w:fill="EAEAEA"/>
          </w:tcPr>
          <w:p>
            <w:pPr>
              <w:spacing w:after="0"/>
              <w:rPr>
                <w:sz w:val="19"/>
                <w:szCs w:val="19"/>
                <w:color w:val="auto"/>
              </w:rPr>
            </w:pPr>
          </w:p>
        </w:tc>
        <w:tc>
          <w:tcPr>
            <w:tcW w:w="840" w:type="dxa"/>
            <w:vAlign w:val="bottom"/>
            <w:tcBorders>
              <w:top w:val="single" w:sz="8" w:color="auto"/>
              <w:right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640" w:type="dxa"/>
            <w:vAlign w:val="bottom"/>
            <w:tcBorders>
              <w:bottom w:val="single" w:sz="8" w:color="EAEAEA"/>
            </w:tcBorders>
            <w:shd w:val="clear" w:color="auto" w:fill="EAEAEA"/>
          </w:tcPr>
          <w:p>
            <w:pPr>
              <w:spacing w:after="0"/>
              <w:rPr>
                <w:sz w:val="20"/>
                <w:szCs w:val="20"/>
                <w:color w:val="auto"/>
              </w:rPr>
            </w:pPr>
            <w:r>
              <w:rPr>
                <w:rFonts w:ascii="Times New Roman" w:cs="Times New Roman" w:eastAsia="Times New Roman" w:hAnsi="Times New Roman"/>
                <w:sz w:val="20"/>
                <w:szCs w:val="20"/>
                <w:color w:val="auto"/>
              </w:rPr>
              <w:t>equivalents)</w:t>
            </w:r>
          </w:p>
        </w:tc>
        <w:tc>
          <w:tcPr>
            <w:tcW w:w="16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13,000</w:t>
            </w:r>
          </w:p>
        </w:tc>
        <w:tc>
          <w:tcPr>
            <w:tcW w:w="200" w:type="dxa"/>
            <w:vAlign w:val="bottom"/>
            <w:tcBorders>
              <w:bottom w:val="single" w:sz="8" w:color="EAEAEA"/>
            </w:tcBorders>
            <w:shd w:val="clear" w:color="auto" w:fill="EAEAEA"/>
          </w:tcPr>
          <w:p>
            <w:pPr>
              <w:spacing w:after="0"/>
              <w:rPr>
                <w:sz w:val="23"/>
                <w:szCs w:val="23"/>
                <w:color w:val="auto"/>
              </w:rPr>
            </w:pPr>
          </w:p>
        </w:tc>
        <w:tc>
          <w:tcPr>
            <w:tcW w:w="10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1,317</w:t>
            </w:r>
          </w:p>
        </w:tc>
        <w:tc>
          <w:tcPr>
            <w:tcW w:w="200" w:type="dxa"/>
            <w:vAlign w:val="bottom"/>
            <w:tcBorders>
              <w:bottom w:val="single" w:sz="8" w:color="EAEAEA"/>
            </w:tcBorders>
            <w:shd w:val="clear" w:color="auto" w:fill="EAEAEA"/>
          </w:tcPr>
          <w:p>
            <w:pPr>
              <w:spacing w:after="0"/>
              <w:rPr>
                <w:sz w:val="23"/>
                <w:szCs w:val="23"/>
                <w:color w:val="auto"/>
              </w:rPr>
            </w:pPr>
          </w:p>
        </w:tc>
        <w:tc>
          <w:tcPr>
            <w:tcW w:w="10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shd w:val="clear" w:color="auto" w:fill="EAEAEA"/>
          </w:tcPr>
          <w:p>
            <w:pPr>
              <w:ind w:left="68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Borders>
              <w:bottom w:val="single" w:sz="8" w:color="EAEAEA"/>
            </w:tcBorders>
            <w:gridSpan w:val="2"/>
            <w:shd w:val="clear" w:color="auto" w:fill="EAEAEA"/>
          </w:tcPr>
          <w:p>
            <w:pPr>
              <w:spacing w:after="0"/>
              <w:rPr>
                <w:sz w:val="23"/>
                <w:szCs w:val="23"/>
                <w:color w:val="auto"/>
              </w:rPr>
            </w:pPr>
          </w:p>
        </w:tc>
        <w:tc>
          <w:tcPr>
            <w:tcW w:w="220" w:type="dxa"/>
            <w:vAlign w:val="bottom"/>
            <w:tcBorders>
              <w:bottom w:val="single" w:sz="8" w:color="auto"/>
            </w:tcBorders>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right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14,317</w:t>
            </w:r>
          </w:p>
        </w:tc>
        <w:tc>
          <w:tcPr>
            <w:tcW w:w="0" w:type="dxa"/>
            <w:vAlign w:val="bottom"/>
          </w:tcPr>
          <w:p>
            <w:pPr>
              <w:spacing w:after="0"/>
              <w:rPr>
                <w:sz w:val="1"/>
                <w:szCs w:val="1"/>
                <w:color w:val="auto"/>
              </w:rPr>
            </w:pPr>
          </w:p>
        </w:tc>
      </w:tr>
      <w:tr>
        <w:trPr>
          <w:trHeight w:val="219"/>
        </w:trPr>
        <w:tc>
          <w:tcPr>
            <w:tcW w:w="464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19,459</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1,317</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ind w:left="680"/>
              <w:spacing w:after="0" w:line="219" w:lineRule="exact"/>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gridSpan w:val="2"/>
          </w:tcPr>
          <w:p>
            <w:pPr>
              <w:spacing w:after="0"/>
              <w:rPr>
                <w:sz w:val="19"/>
                <w:szCs w:val="19"/>
                <w:color w:val="auto"/>
              </w:rPr>
            </w:pPr>
          </w:p>
        </w:tc>
        <w:tc>
          <w:tcPr>
            <w:tcW w:w="220" w:type="dxa"/>
            <w:vAlign w:val="bottom"/>
            <w:tcBorders>
              <w:bottom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20,776</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0" w:hanging="480"/>
        <w:spacing w:after="0"/>
        <w:tabs>
          <w:tab w:leader="none" w:pos="1200" w:val="left"/>
        </w:tabs>
        <w:numPr>
          <w:ilvl w:val="0"/>
          <w:numId w:val="3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Concentration Risk</w:t>
      </w:r>
    </w:p>
    <w:p>
      <w:pPr>
        <w:spacing w:after="0" w:line="120" w:lineRule="exact"/>
        <w:rPr>
          <w:sz w:val="20"/>
          <w:szCs w:val="20"/>
          <w:color w:val="auto"/>
        </w:rPr>
      </w:pPr>
    </w:p>
    <w:p>
      <w:pPr>
        <w:ind w:right="280" w:firstLine="490"/>
        <w:spacing w:after="0" w:line="277" w:lineRule="auto"/>
        <w:rPr>
          <w:sz w:val="20"/>
          <w:szCs w:val="20"/>
          <w:color w:val="auto"/>
        </w:rPr>
      </w:pPr>
      <w:r>
        <w:rPr>
          <w:rFonts w:ascii="Times New Roman" w:cs="Times New Roman" w:eastAsia="Times New Roman" w:hAnsi="Times New Roman"/>
          <w:sz w:val="20"/>
          <w:szCs w:val="20"/>
          <w:color w:val="auto"/>
        </w:rPr>
        <w:t>The Company relies on third parties for specified food products and supplies. In instances where these parties fail to perform their obligation, the Company may be unable to find alternative suppliers.</w:t>
      </w:r>
    </w:p>
    <w:p>
      <w:pPr>
        <w:spacing w:after="0" w:line="169"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auto"/>
        </w:rPr>
        <w:t>The Company relies on Sysco Los Angeles, Inc., or Sysco, an unrelated third-party, for a significant portion of its food products. During the fourth quarter of 2023, the Company entered into an agreement with Sysco to purchase certain food supplies. For the year ended December 31, 2025, Sysco accounted for approximately 57.4% of total food costs. For the year ended December 31, 2024, Sysco accounted for approximately 76.3% of total food costs.</w:t>
      </w:r>
    </w:p>
    <w:p>
      <w:pPr>
        <w:spacing w:after="0" w:line="197" w:lineRule="exact"/>
        <w:rPr>
          <w:sz w:val="20"/>
          <w:szCs w:val="20"/>
          <w:color w:val="auto"/>
        </w:rPr>
      </w:pPr>
    </w:p>
    <w:p>
      <w:pPr>
        <w:ind w:right="240" w:firstLine="490"/>
        <w:spacing w:after="0" w:line="252" w:lineRule="auto"/>
        <w:rPr>
          <w:sz w:val="20"/>
          <w:szCs w:val="20"/>
          <w:color w:val="auto"/>
        </w:rPr>
      </w:pPr>
      <w:r>
        <w:rPr>
          <w:rFonts w:ascii="Times New Roman" w:cs="Times New Roman" w:eastAsia="Times New Roman" w:hAnsi="Times New Roman"/>
          <w:sz w:val="20"/>
          <w:szCs w:val="20"/>
          <w:color w:val="auto"/>
        </w:rPr>
        <w:t>The Company relied on Pacific Global Distribution, Inc. (“PGD”), which provided restaurant supplies such as tableware, napkins, soda, and sauces. PGD is owned by a related party. The Company did not purchase from PGD during the year 2025. For the year ended December 31, 2024, PGD accounted for approximately 3.2% of total operating expenses.</w:t>
      </w:r>
    </w:p>
    <w:p>
      <w:pPr>
        <w:spacing w:after="0" w:line="194"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color w:val="auto"/>
        </w:rPr>
        <w:t>During the years ended December 31, 2025 and 2024 two third party vendors accounted for 32.5% and 24.2% of total food costs, respectively.</w:t>
      </w:r>
    </w:p>
    <w:p>
      <w:pPr>
        <w:spacing w:after="0" w:line="169"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auto"/>
        </w:rPr>
        <w:t>The Company had accounts receivable from one customer that represented 92.0% of total accounts receivable at December 31, 2025, and accounts receivable from one customer that represents 100.0% of total receivable at December 31, 2025.</w:t>
      </w:r>
    </w:p>
    <w:p>
      <w:pPr>
        <w:spacing w:after="0" w:line="308" w:lineRule="exact"/>
        <w:rPr>
          <w:sz w:val="20"/>
          <w:szCs w:val="20"/>
          <w:color w:val="auto"/>
        </w:rPr>
      </w:pPr>
    </w:p>
    <w:p>
      <w:pPr>
        <w:ind w:left="1200" w:hanging="480"/>
        <w:spacing w:after="0"/>
        <w:tabs>
          <w:tab w:leader="none" w:pos="1200" w:val="left"/>
        </w:tabs>
        <w:numPr>
          <w:ilvl w:val="0"/>
          <w:numId w:val="3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Inventories</w:t>
      </w:r>
    </w:p>
    <w:p>
      <w:pPr>
        <w:spacing w:after="0" w:line="120" w:lineRule="exact"/>
        <w:rPr>
          <w:sz w:val="20"/>
          <w:szCs w:val="20"/>
          <w:color w:val="auto"/>
        </w:rPr>
      </w:pPr>
    </w:p>
    <w:p>
      <w:pPr>
        <w:ind w:right="520" w:firstLine="490"/>
        <w:spacing w:after="0" w:line="277" w:lineRule="auto"/>
        <w:rPr>
          <w:sz w:val="20"/>
          <w:szCs w:val="20"/>
          <w:color w:val="auto"/>
        </w:rPr>
      </w:pPr>
      <w:r>
        <w:rPr>
          <w:rFonts w:ascii="Times New Roman" w:cs="Times New Roman" w:eastAsia="Times New Roman" w:hAnsi="Times New Roman"/>
          <w:sz w:val="20"/>
          <w:szCs w:val="20"/>
          <w:color w:val="auto"/>
        </w:rPr>
        <w:t>Inventories consist principally of food and beverages that are finished goods and are valued at the lower of cost or net realizable value. Cost is determined using the first-in, first-out method (FIFO) for all inventories.</w:t>
      </w:r>
    </w:p>
    <w:p>
      <w:pPr>
        <w:spacing w:after="0" w:line="289" w:lineRule="exact"/>
        <w:rPr>
          <w:sz w:val="20"/>
          <w:szCs w:val="20"/>
          <w:color w:val="auto"/>
        </w:rPr>
      </w:pPr>
    </w:p>
    <w:p>
      <w:pPr>
        <w:ind w:left="1200" w:hanging="480"/>
        <w:spacing w:after="0"/>
        <w:tabs>
          <w:tab w:leader="none" w:pos="1200" w:val="left"/>
        </w:tabs>
        <w:numPr>
          <w:ilvl w:val="0"/>
          <w:numId w:val="3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Revenue Recognition</w:t>
      </w:r>
    </w:p>
    <w:p>
      <w:pPr>
        <w:spacing w:after="0" w:line="120" w:lineRule="exact"/>
        <w:rPr>
          <w:sz w:val="20"/>
          <w:szCs w:val="20"/>
          <w:color w:val="auto"/>
        </w:rPr>
      </w:pPr>
    </w:p>
    <w:p>
      <w:pPr>
        <w:ind w:right="380" w:firstLine="490"/>
        <w:spacing w:after="0" w:line="305" w:lineRule="auto"/>
        <w:rPr>
          <w:sz w:val="20"/>
          <w:szCs w:val="20"/>
          <w:color w:val="auto"/>
        </w:rPr>
      </w:pPr>
      <w:r>
        <w:rPr>
          <w:rFonts w:ascii="Times New Roman" w:cs="Times New Roman" w:eastAsia="Times New Roman" w:hAnsi="Times New Roman"/>
          <w:sz w:val="19"/>
          <w:szCs w:val="19"/>
          <w:color w:val="auto"/>
        </w:rPr>
        <w:t>The Company recognizes revenue in accordance with ASC 606, “Revenue from Contracts with Customers.” Revenue from the operation of the restaurants is recognized as food and beverage products are delivered to</w:t>
      </w:r>
    </w:p>
    <w:p>
      <w:pPr>
        <w:sectPr>
          <w:pgSz w:w="12240" w:h="15840" w:orient="portrait"/>
          <w:cols w:equalWidth="0" w:num="1">
            <w:col w:w="9540"/>
          </w:cols>
          <w:pgMar w:left="1260" w:top="224" w:right="1440" w:bottom="67"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292929"/>
        </w:rPr>
        <w:t>F-12</w:t>
      </w:r>
    </w:p>
    <w:p>
      <w:pPr>
        <w:sectPr>
          <w:pgSz w:w="12240" w:h="15840" w:orient="portrait"/>
          <w:cols w:equalWidth="0" w:num="1">
            <w:col w:w="9540"/>
          </w:cols>
          <w:pgMar w:left="1260" w:top="224" w:right="1440" w:bottom="67" w:gutter="0" w:footer="0" w:header="0"/>
          <w:type w:val="continuous"/>
        </w:sectPr>
      </w:pPr>
    </w:p>
    <w:bookmarkStart w:id="78" w:name="page79"/>
    <w:bookmarkEnd w:id="78"/>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GEN RESTAURANT GROUP, INC.</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Notes to Consolidated Financial Statements</w:t>
      </w: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December 31, 2025 and 2024</w:t>
      </w:r>
    </w:p>
    <w:p>
      <w:pPr>
        <w:spacing w:after="0" w:line="295"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20"/>
          <w:szCs w:val="20"/>
          <w:color w:val="auto"/>
        </w:rPr>
        <w:t>customers and payment is tendered at the time of sale. Revenues generated from both the retail and wholesale side are recognized upon invoicing, which coincides with delivery confirmation.</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Sales tax amounts collected from customers are remitted to governmental authorities and are excluded from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sales.</w:t>
      </w:r>
    </w:p>
    <w:p>
      <w:pPr>
        <w:spacing w:after="0" w:line="212" w:lineRule="exact"/>
        <w:rPr>
          <w:sz w:val="20"/>
          <w:szCs w:val="20"/>
          <w:color w:val="auto"/>
        </w:rPr>
      </w:pPr>
    </w:p>
    <w:p>
      <w:pPr>
        <w:ind w:right="260" w:firstLine="490"/>
        <w:spacing w:after="0" w:line="249" w:lineRule="auto"/>
        <w:rPr>
          <w:sz w:val="20"/>
          <w:szCs w:val="20"/>
          <w:color w:val="auto"/>
        </w:rPr>
      </w:pPr>
      <w:r>
        <w:rPr>
          <w:rFonts w:ascii="Times New Roman" w:cs="Times New Roman" w:eastAsia="Times New Roman" w:hAnsi="Times New Roman"/>
          <w:sz w:val="20"/>
          <w:szCs w:val="20"/>
          <w:color w:val="auto"/>
        </w:rPr>
        <w:t>The Company started selling gift cards primarily during the fourth quarter of 2024. The Company sells gift cards which do not have expiration dates. Gift cards balances are initially recorded as unearned income. Revenue from gift cards is recognized when gift cards are redeemed by the guest or, in the event a gift card is not expected to be redeemed, in proportion to actual redemptions of gift cards (“gift card breakage”). Gift card breakage income is included in revenue on the consolidated statements of operations.</w:t>
      </w:r>
    </w:p>
    <w:p>
      <w:pPr>
        <w:spacing w:after="0" w:line="317" w:lineRule="exact"/>
        <w:rPr>
          <w:sz w:val="20"/>
          <w:szCs w:val="20"/>
          <w:color w:val="auto"/>
        </w:rPr>
      </w:pPr>
    </w:p>
    <w:p>
      <w:pPr>
        <w:ind w:left="1200" w:hanging="480"/>
        <w:spacing w:after="0"/>
        <w:tabs>
          <w:tab w:leader="none" w:pos="1200" w:val="left"/>
        </w:tabs>
        <w:numPr>
          <w:ilvl w:val="0"/>
          <w:numId w:val="35"/>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Property and Equipment</w:t>
      </w:r>
    </w:p>
    <w:p>
      <w:pPr>
        <w:spacing w:after="0" w:line="120" w:lineRule="exact"/>
        <w:rPr>
          <w:sz w:val="20"/>
          <w:szCs w:val="20"/>
          <w:color w:val="auto"/>
        </w:rPr>
      </w:pPr>
    </w:p>
    <w:p>
      <w:pPr>
        <w:ind w:right="180" w:firstLine="490"/>
        <w:spacing w:after="0" w:line="258" w:lineRule="auto"/>
        <w:rPr>
          <w:sz w:val="20"/>
          <w:szCs w:val="20"/>
          <w:color w:val="auto"/>
        </w:rPr>
      </w:pPr>
      <w:r>
        <w:rPr>
          <w:rFonts w:ascii="Times New Roman" w:cs="Times New Roman" w:eastAsia="Times New Roman" w:hAnsi="Times New Roman"/>
          <w:sz w:val="20"/>
          <w:szCs w:val="20"/>
          <w:color w:val="auto"/>
        </w:rPr>
        <w:t>Property and equipment are stated at cost and are depreciated using the straight-line method over the estimated useful lives of the assets. Property and equipment under finance leases are stated at the present value of minimum lease payments.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266"/>
        </w:trPr>
        <w:tc>
          <w:tcPr>
            <w:tcW w:w="4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 estimated useful service lives are as follows:</w:t>
            </w:r>
          </w:p>
        </w:tc>
        <w:tc>
          <w:tcPr>
            <w:tcW w:w="4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Equipment</w:t>
            </w:r>
          </w:p>
        </w:tc>
        <w:tc>
          <w:tcPr>
            <w:tcW w:w="4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5 - 7 Years</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4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5 - 7 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4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Shorter of useful life or remaining lease term</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right="380" w:firstLine="490"/>
        <w:spacing w:after="0" w:line="245" w:lineRule="auto"/>
        <w:rPr>
          <w:sz w:val="20"/>
          <w:szCs w:val="20"/>
          <w:color w:val="auto"/>
        </w:rPr>
      </w:pPr>
      <w:r>
        <w:rPr>
          <w:rFonts w:ascii="Times New Roman" w:cs="Times New Roman" w:eastAsia="Times New Roman" w:hAnsi="Times New Roman"/>
          <w:sz w:val="20"/>
          <w:szCs w:val="20"/>
          <w:color w:val="auto"/>
        </w:rPr>
        <w:t>The Company and its related entities capitalize certain costs in conjunction with improvements to specific sites for planned future restaurants. The Company and its related entities also capitalize certain costs, including interest, in conjunction with constructing new restaurants. These costs are included in property and equipment and are amortized over the shorter of the life of the related leasehold improvements or the remaining lease term. Costs related to abandoned sites and other site selection costs that cannot be identified with specific restaurants are charged to general and administrative expenses in the accompanying consolidated statements of operations. The Company and its related entities did not capitalize any internal costs related to site preparation and construction activities during the years ended December 31, 2025 and 2024 as any amounts were deemed immaterial.</w:t>
      </w:r>
    </w:p>
    <w:p>
      <w:pPr>
        <w:spacing w:after="0" w:line="322" w:lineRule="exact"/>
        <w:rPr>
          <w:sz w:val="20"/>
          <w:szCs w:val="20"/>
          <w:color w:val="auto"/>
        </w:rPr>
      </w:pPr>
    </w:p>
    <w:p>
      <w:pPr>
        <w:ind w:left="1200" w:hanging="480"/>
        <w:spacing w:after="0"/>
        <w:tabs>
          <w:tab w:leader="none" w:pos="1200" w:val="left"/>
        </w:tabs>
        <w:numPr>
          <w:ilvl w:val="0"/>
          <w:numId w:val="3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Prepaid expenses and Other Current Assets</w:t>
      </w:r>
    </w:p>
    <w:p>
      <w:pPr>
        <w:spacing w:after="0" w:line="120" w:lineRule="exact"/>
        <w:rPr>
          <w:sz w:val="20"/>
          <w:szCs w:val="20"/>
          <w:color w:val="auto"/>
        </w:rPr>
      </w:pPr>
    </w:p>
    <w:p>
      <w:pPr>
        <w:ind w:right="600" w:firstLine="490"/>
        <w:spacing w:after="0" w:line="277" w:lineRule="auto"/>
        <w:rPr>
          <w:sz w:val="20"/>
          <w:szCs w:val="20"/>
          <w:color w:val="auto"/>
        </w:rPr>
      </w:pPr>
      <w:r>
        <w:rPr>
          <w:rFonts w:ascii="Times New Roman" w:cs="Times New Roman" w:eastAsia="Times New Roman" w:hAnsi="Times New Roman"/>
          <w:sz w:val="20"/>
          <w:szCs w:val="20"/>
          <w:color w:val="auto"/>
        </w:rPr>
        <w:t>Prepaid expenses and other current assets as of December 31, 2025 and December 31, 2024 consist of the following: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6"/>
                <w:szCs w:val="16"/>
                <w:color w:val="auto"/>
              </w:rPr>
            </w:pPr>
          </w:p>
        </w:tc>
      </w:tr>
      <w:tr>
        <w:trPr>
          <w:trHeight w:val="203"/>
        </w:trPr>
        <w:tc>
          <w:tcPr>
            <w:tcW w:w="6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Borders>
              <w:bottom w:val="single" w:sz="8" w:color="EAEAEA"/>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bottom w:val="single" w:sz="8" w:color="EAEAEA"/>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EAEAEA"/>
            </w:tcBorders>
          </w:tcPr>
          <w:p>
            <w:pPr>
              <w:spacing w:after="0"/>
              <w:rPr>
                <w:sz w:val="17"/>
                <w:szCs w:val="17"/>
                <w:color w:val="auto"/>
              </w:rPr>
            </w:pPr>
          </w:p>
        </w:tc>
      </w:tr>
      <w:tr>
        <w:trPr>
          <w:trHeight w:val="239"/>
        </w:trPr>
        <w:tc>
          <w:tcPr>
            <w:tcW w:w="60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rPr>
              <w:t>Prepaid Expenses and Other Current Assets</w:t>
            </w:r>
          </w:p>
        </w:tc>
        <w:tc>
          <w:tcPr>
            <w:tcW w:w="22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118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118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r>
      <w:tr>
        <w:trPr>
          <w:trHeight w:val="244"/>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Insurance and property taxes</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1,379</w:t>
            </w:r>
          </w:p>
        </w:tc>
        <w:tc>
          <w:tcPr>
            <w:tcW w:w="3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1,377</w:t>
            </w:r>
          </w:p>
        </w:tc>
        <w:tc>
          <w:tcPr>
            <w:tcW w:w="60" w:type="dxa"/>
            <w:vAlign w:val="bottom"/>
          </w:tcPr>
          <w:p>
            <w:pPr>
              <w:spacing w:after="0"/>
              <w:rPr>
                <w:sz w:val="21"/>
                <w:szCs w:val="21"/>
                <w:color w:val="auto"/>
              </w:rPr>
            </w:pPr>
          </w:p>
        </w:tc>
      </w:tr>
      <w:tr>
        <w:trPr>
          <w:trHeight w:val="244"/>
        </w:trPr>
        <w:tc>
          <w:tcPr>
            <w:tcW w:w="60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Development and pre-opening</w:t>
            </w:r>
          </w:p>
        </w:tc>
        <w:tc>
          <w:tcPr>
            <w:tcW w:w="22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11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2,590</w:t>
            </w:r>
          </w:p>
        </w:tc>
        <w:tc>
          <w:tcPr>
            <w:tcW w:w="32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11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1,695</w:t>
            </w:r>
          </w:p>
        </w:tc>
        <w:tc>
          <w:tcPr>
            <w:tcW w:w="60" w:type="dxa"/>
            <w:vAlign w:val="bottom"/>
            <w:shd w:val="clear" w:color="auto" w:fill="EAEAEA"/>
          </w:tcPr>
          <w:p>
            <w:pPr>
              <w:spacing w:after="0"/>
              <w:rPr>
                <w:sz w:val="21"/>
                <w:szCs w:val="21"/>
                <w:color w:val="auto"/>
              </w:rPr>
            </w:pPr>
          </w:p>
        </w:tc>
      </w:tr>
      <w:tr>
        <w:trPr>
          <w:trHeight w:val="244"/>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Marketing</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1,467</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w:t>
            </w:r>
          </w:p>
        </w:tc>
        <w:tc>
          <w:tcPr>
            <w:tcW w:w="60" w:type="dxa"/>
            <w:vAlign w:val="bottom"/>
          </w:tcPr>
          <w:p>
            <w:pPr>
              <w:spacing w:after="0"/>
              <w:rPr>
                <w:sz w:val="21"/>
                <w:szCs w:val="21"/>
                <w:color w:val="auto"/>
              </w:rPr>
            </w:pPr>
          </w:p>
        </w:tc>
      </w:tr>
      <w:tr>
        <w:trPr>
          <w:trHeight w:val="244"/>
        </w:trPr>
        <w:tc>
          <w:tcPr>
            <w:tcW w:w="60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Equipment</w:t>
            </w:r>
          </w:p>
        </w:tc>
        <w:tc>
          <w:tcPr>
            <w:tcW w:w="22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11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332</w:t>
            </w:r>
          </w:p>
        </w:tc>
        <w:tc>
          <w:tcPr>
            <w:tcW w:w="32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11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60" w:type="dxa"/>
            <w:vAlign w:val="bottom"/>
            <w:shd w:val="clear" w:color="auto" w:fill="EAEAEA"/>
          </w:tcPr>
          <w:p>
            <w:pPr>
              <w:spacing w:after="0"/>
              <w:rPr>
                <w:sz w:val="21"/>
                <w:szCs w:val="21"/>
                <w:color w:val="auto"/>
              </w:rPr>
            </w:pPr>
          </w:p>
        </w:tc>
      </w:tr>
      <w:tr>
        <w:trPr>
          <w:trHeight w:val="244"/>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Subscription services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60" w:type="dxa"/>
            <w:vAlign w:val="bottom"/>
          </w:tcPr>
          <w:p>
            <w:pPr>
              <w:spacing w:after="0"/>
              <w:rPr>
                <w:sz w:val="21"/>
                <w:szCs w:val="21"/>
                <w:color w:val="auto"/>
              </w:rPr>
            </w:pPr>
          </w:p>
        </w:tc>
      </w:tr>
      <w:tr>
        <w:trPr>
          <w:trHeight w:val="244"/>
        </w:trPr>
        <w:tc>
          <w:tcPr>
            <w:tcW w:w="60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Conference/Supplies</w:t>
            </w:r>
          </w:p>
        </w:tc>
        <w:tc>
          <w:tcPr>
            <w:tcW w:w="22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11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32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11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458</w:t>
            </w:r>
          </w:p>
        </w:tc>
        <w:tc>
          <w:tcPr>
            <w:tcW w:w="60" w:type="dxa"/>
            <w:vAlign w:val="bottom"/>
            <w:shd w:val="clear" w:color="auto" w:fill="EAEAEA"/>
          </w:tcPr>
          <w:p>
            <w:pPr>
              <w:spacing w:after="0"/>
              <w:rPr>
                <w:sz w:val="21"/>
                <w:szCs w:val="21"/>
                <w:color w:val="auto"/>
              </w:rPr>
            </w:pPr>
          </w:p>
        </w:tc>
      </w:tr>
      <w:tr>
        <w:trPr>
          <w:trHeight w:val="244"/>
        </w:trPr>
        <w:tc>
          <w:tcPr>
            <w:tcW w:w="608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20"/>
                <w:szCs w:val="20"/>
                <w:color w:val="auto"/>
              </w:rPr>
              <w:t>Other</w:t>
            </w:r>
          </w:p>
        </w:tc>
        <w:tc>
          <w:tcPr>
            <w:tcW w:w="220" w:type="dxa"/>
            <w:vAlign w:val="bottom"/>
            <w:tcBorders>
              <w:bottom w:val="single" w:sz="8" w:color="EAEAEA"/>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1,594</w:t>
            </w:r>
          </w:p>
        </w:tc>
        <w:tc>
          <w:tcPr>
            <w:tcW w:w="320" w:type="dxa"/>
            <w:vAlign w:val="bottom"/>
            <w:tcBorders>
              <w:bottom w:val="single" w:sz="8" w:color="EAEAEA"/>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1,545</w:t>
            </w:r>
          </w:p>
        </w:tc>
        <w:tc>
          <w:tcPr>
            <w:tcW w:w="60" w:type="dxa"/>
            <w:vAlign w:val="bottom"/>
            <w:tcBorders>
              <w:bottom w:val="single" w:sz="8" w:color="EAEAEA"/>
            </w:tcBorders>
          </w:tcPr>
          <w:p>
            <w:pPr>
              <w:spacing w:after="0"/>
              <w:rPr>
                <w:sz w:val="21"/>
                <w:szCs w:val="21"/>
                <w:color w:val="auto"/>
              </w:rPr>
            </w:pPr>
          </w:p>
        </w:tc>
      </w:tr>
      <w:tr>
        <w:trPr>
          <w:trHeight w:val="239"/>
        </w:trPr>
        <w:tc>
          <w:tcPr>
            <w:tcW w:w="60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rPr>
              <w:t>Total Prepaid and Other Current Assets</w:t>
            </w:r>
          </w:p>
        </w:tc>
        <w:tc>
          <w:tcPr>
            <w:tcW w:w="220" w:type="dxa"/>
            <w:vAlign w:val="bottom"/>
            <w:shd w:val="clear" w:color="auto" w:fill="EAEAEA"/>
          </w:tcPr>
          <w:p>
            <w:pPr>
              <w:spacing w:after="0"/>
              <w:rPr>
                <w:sz w:val="20"/>
                <w:szCs w:val="20"/>
                <w:color w:val="auto"/>
              </w:rPr>
            </w:pPr>
          </w:p>
        </w:tc>
        <w:tc>
          <w:tcPr>
            <w:tcW w:w="16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7,546</w:t>
            </w:r>
          </w:p>
        </w:tc>
        <w:tc>
          <w:tcPr>
            <w:tcW w:w="320" w:type="dxa"/>
            <w:vAlign w:val="bottom"/>
            <w:shd w:val="clear" w:color="auto" w:fill="EAEAEA"/>
          </w:tcPr>
          <w:p>
            <w:pPr>
              <w:spacing w:after="0"/>
              <w:rPr>
                <w:sz w:val="20"/>
                <w:szCs w:val="20"/>
                <w:color w:val="auto"/>
              </w:rPr>
            </w:pPr>
          </w:p>
        </w:tc>
        <w:tc>
          <w:tcPr>
            <w:tcW w:w="16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6,004</w:t>
            </w:r>
          </w:p>
        </w:tc>
        <w:tc>
          <w:tcPr>
            <w:tcW w:w="60" w:type="dxa"/>
            <w:vAlign w:val="bottom"/>
            <w:shd w:val="clear" w:color="auto" w:fill="EAEAEA"/>
          </w:tcPr>
          <w:p>
            <w:pPr>
              <w:spacing w:after="0"/>
              <w:rPr>
                <w:sz w:val="20"/>
                <w:szCs w:val="20"/>
                <w:color w:val="auto"/>
              </w:rPr>
            </w:pPr>
          </w:p>
        </w:tc>
      </w:tr>
      <w:tr>
        <w:trPr>
          <w:trHeight w:val="20"/>
        </w:trPr>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540"/>
          </w:cols>
          <w:pgMar w:left="1260" w:top="224" w:right="1440" w:bottom="6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292929"/>
        </w:rPr>
        <w:t>F-13</w:t>
      </w:r>
    </w:p>
    <w:p>
      <w:pPr>
        <w:sectPr>
          <w:pgSz w:w="12240" w:h="15840" w:orient="portrait"/>
          <w:cols w:equalWidth="0" w:num="1">
            <w:col w:w="9540"/>
          </w:cols>
          <w:pgMar w:left="1260" w:top="224" w:right="1440" w:bottom="67" w:gutter="0" w:footer="0" w:header="0"/>
          <w:type w:val="continuous"/>
        </w:sectPr>
      </w:pPr>
    </w:p>
    <w:bookmarkStart w:id="79" w:name="page80"/>
    <w:bookmarkEnd w:id="79"/>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GEN RESTAURANT GROUP, INC.</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Notes to Consolidated Financial Statements</w:t>
      </w: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December 31, 2025 and 2024</w:t>
      </w:r>
    </w:p>
    <w:p>
      <w:pPr>
        <w:spacing w:after="0" w:line="295" w:lineRule="exact"/>
        <w:rPr>
          <w:sz w:val="20"/>
          <w:szCs w:val="20"/>
          <w:color w:val="auto"/>
        </w:rPr>
      </w:pPr>
    </w:p>
    <w:p>
      <w:pPr>
        <w:ind w:left="1200" w:hanging="480"/>
        <w:spacing w:after="0"/>
        <w:tabs>
          <w:tab w:leader="none" w:pos="1200" w:val="left"/>
        </w:tabs>
        <w:numPr>
          <w:ilvl w:val="0"/>
          <w:numId w:val="3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Other Assets and Other Current Liabilities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Other assets as of December 31, 2025 and December 31, 2024 consist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6"/>
                <w:szCs w:val="16"/>
                <w:color w:val="auto"/>
              </w:rPr>
            </w:pPr>
          </w:p>
        </w:tc>
      </w:tr>
      <w:tr>
        <w:trPr>
          <w:trHeight w:val="203"/>
        </w:trPr>
        <w:tc>
          <w:tcPr>
            <w:tcW w:w="6200" w:type="dxa"/>
            <w:vAlign w:val="bottom"/>
            <w:tcBorders>
              <w:bottom w:val="single" w:sz="8" w:color="auto"/>
            </w:tcBorders>
          </w:tcPr>
          <w:p>
            <w:pPr>
              <w:spacing w:after="0"/>
              <w:rPr>
                <w:sz w:val="17"/>
                <w:szCs w:val="17"/>
                <w:color w:val="auto"/>
              </w:rPr>
            </w:pPr>
          </w:p>
        </w:tc>
        <w:tc>
          <w:tcPr>
            <w:tcW w:w="140" w:type="dxa"/>
            <w:vAlign w:val="bottom"/>
            <w:tcBorders>
              <w:bottom w:val="single" w:sz="8" w:color="EAEAEA"/>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EAEAEA"/>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EAEAEA"/>
            </w:tcBorders>
          </w:tcPr>
          <w:p>
            <w:pPr>
              <w:spacing w:after="0"/>
              <w:rPr>
                <w:sz w:val="17"/>
                <w:szCs w:val="17"/>
                <w:color w:val="auto"/>
              </w:rPr>
            </w:pPr>
          </w:p>
        </w:tc>
      </w:tr>
      <w:tr>
        <w:trPr>
          <w:trHeight w:val="239"/>
        </w:trPr>
        <w:tc>
          <w:tcPr>
            <w:tcW w:w="62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rPr>
              <w:t>Other Assets</w:t>
            </w:r>
          </w:p>
        </w:tc>
        <w:tc>
          <w:tcPr>
            <w:tcW w:w="14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1200" w:type="dxa"/>
            <w:vAlign w:val="bottom"/>
            <w:shd w:val="clear" w:color="auto" w:fill="EAEAEA"/>
          </w:tcPr>
          <w:p>
            <w:pPr>
              <w:spacing w:after="0"/>
              <w:rPr>
                <w:sz w:val="20"/>
                <w:szCs w:val="20"/>
                <w:color w:val="auto"/>
              </w:rPr>
            </w:pPr>
          </w:p>
        </w:tc>
        <w:tc>
          <w:tcPr>
            <w:tcW w:w="24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120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r>
      <w:tr>
        <w:trPr>
          <w:trHeight w:val="244"/>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Security Deposits</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1,997</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933</w:t>
            </w:r>
          </w:p>
        </w:tc>
        <w:tc>
          <w:tcPr>
            <w:tcW w:w="60" w:type="dxa"/>
            <w:vAlign w:val="bottom"/>
          </w:tcPr>
          <w:p>
            <w:pPr>
              <w:spacing w:after="0"/>
              <w:rPr>
                <w:sz w:val="21"/>
                <w:szCs w:val="21"/>
                <w:color w:val="auto"/>
              </w:rPr>
            </w:pPr>
          </w:p>
        </w:tc>
      </w:tr>
      <w:tr>
        <w:trPr>
          <w:trHeight w:val="244"/>
        </w:trPr>
        <w:tc>
          <w:tcPr>
            <w:tcW w:w="62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Liquor Licenses</w:t>
            </w:r>
          </w:p>
        </w:tc>
        <w:tc>
          <w:tcPr>
            <w:tcW w:w="140" w:type="dxa"/>
            <w:vAlign w:val="bottom"/>
            <w:shd w:val="clear" w:color="auto" w:fill="EAEAEA"/>
          </w:tcPr>
          <w:p>
            <w:pPr>
              <w:spacing w:after="0"/>
              <w:rPr>
                <w:sz w:val="21"/>
                <w:szCs w:val="21"/>
                <w:color w:val="auto"/>
              </w:rPr>
            </w:pPr>
          </w:p>
        </w:tc>
        <w:tc>
          <w:tcPr>
            <w:tcW w:w="160" w:type="dxa"/>
            <w:vAlign w:val="bottom"/>
            <w:tcBorders>
              <w:bottom w:val="single" w:sz="8" w:color="auto"/>
            </w:tcBorders>
            <w:shd w:val="clear" w:color="auto" w:fill="EAEAEA"/>
          </w:tcPr>
          <w:p>
            <w:pPr>
              <w:spacing w:after="0"/>
              <w:rPr>
                <w:sz w:val="21"/>
                <w:szCs w:val="21"/>
                <w:color w:val="auto"/>
              </w:rPr>
            </w:pPr>
          </w:p>
        </w:tc>
        <w:tc>
          <w:tcPr>
            <w:tcW w:w="120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386</w:t>
            </w:r>
          </w:p>
        </w:tc>
        <w:tc>
          <w:tcPr>
            <w:tcW w:w="240" w:type="dxa"/>
            <w:vAlign w:val="bottom"/>
            <w:shd w:val="clear" w:color="auto" w:fill="EAEAEA"/>
          </w:tcPr>
          <w:p>
            <w:pPr>
              <w:spacing w:after="0"/>
              <w:rPr>
                <w:sz w:val="21"/>
                <w:szCs w:val="21"/>
                <w:color w:val="auto"/>
              </w:rPr>
            </w:pPr>
          </w:p>
        </w:tc>
        <w:tc>
          <w:tcPr>
            <w:tcW w:w="160" w:type="dxa"/>
            <w:vAlign w:val="bottom"/>
            <w:tcBorders>
              <w:bottom w:val="single" w:sz="8" w:color="auto"/>
            </w:tcBorders>
            <w:shd w:val="clear" w:color="auto" w:fill="EAEAEA"/>
          </w:tcPr>
          <w:p>
            <w:pPr>
              <w:spacing w:after="0"/>
              <w:rPr>
                <w:sz w:val="21"/>
                <w:szCs w:val="21"/>
                <w:color w:val="auto"/>
              </w:rPr>
            </w:pPr>
          </w:p>
        </w:tc>
        <w:tc>
          <w:tcPr>
            <w:tcW w:w="120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224</w:t>
            </w:r>
          </w:p>
        </w:tc>
        <w:tc>
          <w:tcPr>
            <w:tcW w:w="60" w:type="dxa"/>
            <w:vAlign w:val="bottom"/>
            <w:shd w:val="clear" w:color="auto" w:fill="EAEAEA"/>
          </w:tcPr>
          <w:p>
            <w:pPr>
              <w:spacing w:after="0"/>
              <w:rPr>
                <w:sz w:val="21"/>
                <w:szCs w:val="21"/>
                <w:color w:val="auto"/>
              </w:rPr>
            </w:pPr>
          </w:p>
        </w:tc>
      </w:tr>
      <w:tr>
        <w:trPr>
          <w:trHeight w:val="239"/>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Other Assets</w:t>
            </w: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2,383</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1,157</w:t>
            </w:r>
          </w:p>
        </w:tc>
        <w:tc>
          <w:tcPr>
            <w:tcW w:w="60" w:type="dxa"/>
            <w:vAlign w:val="bottom"/>
          </w:tcPr>
          <w:p>
            <w:pPr>
              <w:spacing w:after="0"/>
              <w:rPr>
                <w:sz w:val="20"/>
                <w:szCs w:val="20"/>
                <w:color w:val="auto"/>
              </w:rPr>
            </w:pPr>
          </w:p>
        </w:tc>
      </w:tr>
    </w:tbl>
    <w:p>
      <w:pPr>
        <w:spacing w:after="0" w:line="2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Other Current Liabilities as of December 31, 2025 and December 31, 2024 consist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6"/>
                <w:szCs w:val="16"/>
                <w:color w:val="auto"/>
              </w:rPr>
            </w:pPr>
          </w:p>
        </w:tc>
      </w:tr>
      <w:tr>
        <w:trPr>
          <w:trHeight w:val="203"/>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EAEAEA"/>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EAEAEA"/>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EAEAEA"/>
            </w:tcBorders>
          </w:tcPr>
          <w:p>
            <w:pPr>
              <w:spacing w:after="0"/>
              <w:rPr>
                <w:sz w:val="17"/>
                <w:szCs w:val="17"/>
                <w:color w:val="auto"/>
              </w:rPr>
            </w:pPr>
          </w:p>
        </w:tc>
      </w:tr>
      <w:tr>
        <w:trPr>
          <w:trHeight w:val="239"/>
        </w:trPr>
        <w:tc>
          <w:tcPr>
            <w:tcW w:w="62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rPr>
              <w:t>Other Current Liabilities</w:t>
            </w:r>
          </w:p>
        </w:tc>
        <w:tc>
          <w:tcPr>
            <w:tcW w:w="14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1200" w:type="dxa"/>
            <w:vAlign w:val="bottom"/>
            <w:shd w:val="clear" w:color="auto" w:fill="EAEAEA"/>
          </w:tcPr>
          <w:p>
            <w:pPr>
              <w:spacing w:after="0"/>
              <w:rPr>
                <w:sz w:val="20"/>
                <w:szCs w:val="20"/>
                <w:color w:val="auto"/>
              </w:rPr>
            </w:pPr>
          </w:p>
        </w:tc>
        <w:tc>
          <w:tcPr>
            <w:tcW w:w="24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120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r>
      <w:tr>
        <w:trPr>
          <w:trHeight w:val="244"/>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Sales tax payable</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1,554</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1,645</w:t>
            </w:r>
          </w:p>
        </w:tc>
        <w:tc>
          <w:tcPr>
            <w:tcW w:w="60" w:type="dxa"/>
            <w:vAlign w:val="bottom"/>
          </w:tcPr>
          <w:p>
            <w:pPr>
              <w:spacing w:after="0"/>
              <w:rPr>
                <w:sz w:val="21"/>
                <w:szCs w:val="21"/>
                <w:color w:val="auto"/>
              </w:rPr>
            </w:pPr>
          </w:p>
        </w:tc>
      </w:tr>
      <w:tr>
        <w:trPr>
          <w:trHeight w:val="244"/>
        </w:trPr>
        <w:tc>
          <w:tcPr>
            <w:tcW w:w="62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Accrued percentage rent</w:t>
            </w:r>
          </w:p>
        </w:tc>
        <w:tc>
          <w:tcPr>
            <w:tcW w:w="14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12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1,195</w:t>
            </w:r>
          </w:p>
        </w:tc>
        <w:tc>
          <w:tcPr>
            <w:tcW w:w="24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12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1,221</w:t>
            </w:r>
          </w:p>
        </w:tc>
        <w:tc>
          <w:tcPr>
            <w:tcW w:w="60" w:type="dxa"/>
            <w:vAlign w:val="bottom"/>
            <w:shd w:val="clear" w:color="auto" w:fill="EAEAEA"/>
          </w:tcPr>
          <w:p>
            <w:pPr>
              <w:spacing w:after="0"/>
              <w:rPr>
                <w:sz w:val="21"/>
                <w:szCs w:val="21"/>
                <w:color w:val="auto"/>
              </w:rPr>
            </w:pPr>
          </w:p>
        </w:tc>
      </w:tr>
      <w:tr>
        <w:trPr>
          <w:trHeight w:val="244"/>
        </w:trPr>
        <w:tc>
          <w:tcPr>
            <w:tcW w:w="620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20"/>
                <w:szCs w:val="20"/>
                <w:color w:val="auto"/>
              </w:rPr>
              <w:t>Misc. accrued expenses</w:t>
            </w:r>
          </w:p>
        </w:tc>
        <w:tc>
          <w:tcPr>
            <w:tcW w:w="140" w:type="dxa"/>
            <w:vAlign w:val="bottom"/>
            <w:tcBorders>
              <w:bottom w:val="single" w:sz="8" w:color="EAEAEA"/>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4,974</w:t>
            </w:r>
          </w:p>
        </w:tc>
        <w:tc>
          <w:tcPr>
            <w:tcW w:w="240" w:type="dxa"/>
            <w:vAlign w:val="bottom"/>
            <w:tcBorders>
              <w:bottom w:val="single" w:sz="8" w:color="EAEAEA"/>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2,732</w:t>
            </w:r>
          </w:p>
        </w:tc>
        <w:tc>
          <w:tcPr>
            <w:tcW w:w="60" w:type="dxa"/>
            <w:vAlign w:val="bottom"/>
            <w:tcBorders>
              <w:bottom w:val="single" w:sz="8" w:color="EAEAEA"/>
            </w:tcBorders>
          </w:tcPr>
          <w:p>
            <w:pPr>
              <w:spacing w:after="0"/>
              <w:rPr>
                <w:sz w:val="21"/>
                <w:szCs w:val="21"/>
                <w:color w:val="auto"/>
              </w:rPr>
            </w:pPr>
          </w:p>
        </w:tc>
      </w:tr>
      <w:tr>
        <w:trPr>
          <w:trHeight w:val="239"/>
        </w:trPr>
        <w:tc>
          <w:tcPr>
            <w:tcW w:w="6200" w:type="dxa"/>
            <w:vAlign w:val="bottom"/>
            <w:tcBorders>
              <w:bottom w:val="single" w:sz="8" w:color="EAEAEA"/>
            </w:tcBorders>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rPr>
              <w:t>Total Other Current Liabilities</w:t>
            </w:r>
          </w:p>
        </w:tc>
        <w:tc>
          <w:tcPr>
            <w:tcW w:w="140" w:type="dxa"/>
            <w:vAlign w:val="bottom"/>
            <w:tcBorders>
              <w:bottom w:val="single" w:sz="8" w:color="EAEAEA"/>
            </w:tcBorders>
            <w:shd w:val="clear" w:color="auto" w:fill="EAEAEA"/>
          </w:tcPr>
          <w:p>
            <w:pPr>
              <w:spacing w:after="0"/>
              <w:rPr>
                <w:sz w:val="20"/>
                <w:szCs w:val="20"/>
                <w:color w:val="auto"/>
              </w:rPr>
            </w:pPr>
          </w:p>
        </w:tc>
        <w:tc>
          <w:tcPr>
            <w:tcW w:w="16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7,723</w:t>
            </w:r>
          </w:p>
        </w:tc>
        <w:tc>
          <w:tcPr>
            <w:tcW w:w="240" w:type="dxa"/>
            <w:vAlign w:val="bottom"/>
            <w:tcBorders>
              <w:bottom w:val="single" w:sz="8" w:color="EAEAEA"/>
            </w:tcBorders>
            <w:shd w:val="clear" w:color="auto" w:fill="EAEAEA"/>
          </w:tcPr>
          <w:p>
            <w:pPr>
              <w:spacing w:after="0"/>
              <w:rPr>
                <w:sz w:val="20"/>
                <w:szCs w:val="20"/>
                <w:color w:val="auto"/>
              </w:rPr>
            </w:pPr>
          </w:p>
        </w:tc>
        <w:tc>
          <w:tcPr>
            <w:tcW w:w="16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5,598</w:t>
            </w:r>
          </w:p>
        </w:tc>
        <w:tc>
          <w:tcPr>
            <w:tcW w:w="60" w:type="dxa"/>
            <w:vAlign w:val="bottom"/>
            <w:tcBorders>
              <w:bottom w:val="single" w:sz="8" w:color="EAEAEA"/>
            </w:tcBorders>
            <w:shd w:val="clear" w:color="auto" w:fill="EAEAEA"/>
          </w:tcPr>
          <w:p>
            <w:pPr>
              <w:spacing w:after="0"/>
              <w:rPr>
                <w:sz w:val="20"/>
                <w:szCs w:val="20"/>
                <w:color w:val="auto"/>
              </w:rPr>
            </w:pPr>
          </w:p>
        </w:tc>
      </w:tr>
    </w:tbl>
    <w:p>
      <w:pPr>
        <w:spacing w:after="0" w:line="200" w:lineRule="exact"/>
        <w:rPr>
          <w:sz w:val="20"/>
          <w:szCs w:val="20"/>
          <w:color w:val="auto"/>
        </w:rPr>
      </w:pPr>
    </w:p>
    <w:p>
      <w:pPr>
        <w:spacing w:after="0" w:line="371" w:lineRule="exact"/>
        <w:rPr>
          <w:sz w:val="20"/>
          <w:szCs w:val="20"/>
          <w:color w:val="auto"/>
        </w:rPr>
      </w:pPr>
    </w:p>
    <w:p>
      <w:pPr>
        <w:ind w:left="1200" w:hanging="480"/>
        <w:spacing w:after="0"/>
        <w:tabs>
          <w:tab w:leader="none" w:pos="1200" w:val="left"/>
        </w:tabs>
        <w:numPr>
          <w:ilvl w:val="0"/>
          <w:numId w:val="3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Pre-Opening Costs</w:t>
      </w:r>
    </w:p>
    <w:p>
      <w:pPr>
        <w:spacing w:after="0" w:line="120"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auto"/>
        </w:rPr>
        <w:t>Pre-opening costs, incurred in connection with the opening of new restaurants, are expensed as incurred. Pre-opening costs were $8.3 million and $7.6 million for the years ended December 31, 2025 and December 31, 2024, respectively.</w:t>
      </w:r>
    </w:p>
    <w:p>
      <w:pPr>
        <w:spacing w:after="0" w:line="308" w:lineRule="exact"/>
        <w:rPr>
          <w:sz w:val="20"/>
          <w:szCs w:val="20"/>
          <w:color w:val="auto"/>
        </w:rPr>
      </w:pPr>
    </w:p>
    <w:p>
      <w:pPr>
        <w:ind w:left="1200" w:hanging="480"/>
        <w:spacing w:after="0"/>
        <w:tabs>
          <w:tab w:leader="none" w:pos="1200" w:val="left"/>
        </w:tabs>
        <w:numPr>
          <w:ilvl w:val="0"/>
          <w:numId w:val="3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Income Taxes</w:t>
      </w:r>
    </w:p>
    <w:p>
      <w:pPr>
        <w:spacing w:after="0" w:line="120"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auto"/>
        </w:rPr>
        <w:t>Prior to the IPO, the Operating Company and its related entities were organized as limited liability companies or limited partnerships and are treated as pass-through entities for federal and state income tax purposes. As the Operating Company and its related entities (other than Gen, Inc.) have elected to be treated as partnerships for income tax purposes and are not subject to federal or state income taxes, income or loss is included in the tax returns of the members or the partners of the Operating Company and its related entities based on their respective shares.</w:t>
      </w:r>
    </w:p>
    <w:p>
      <w:pPr>
        <w:spacing w:after="0" w:line="197" w:lineRule="exact"/>
        <w:rPr>
          <w:sz w:val="20"/>
          <w:szCs w:val="20"/>
          <w:color w:val="auto"/>
        </w:rPr>
      </w:pPr>
    </w:p>
    <w:p>
      <w:pPr>
        <w:ind w:right="280" w:firstLine="490"/>
        <w:spacing w:after="0" w:line="249" w:lineRule="auto"/>
        <w:rPr>
          <w:sz w:val="20"/>
          <w:szCs w:val="20"/>
          <w:color w:val="auto"/>
        </w:rPr>
      </w:pPr>
      <w:r>
        <w:rPr>
          <w:rFonts w:ascii="Times New Roman" w:cs="Times New Roman" w:eastAsia="Times New Roman" w:hAnsi="Times New Roman"/>
          <w:sz w:val="20"/>
          <w:szCs w:val="20"/>
          <w:color w:val="auto"/>
        </w:rPr>
        <w:t>Deferred tax assets are recognized for the future tax consequences attributable to differences between the financial statement carrying amounts of existing assets and their respective tax bases and operating loss and tax credit carryforwards. Deferred tax assets are measured using enacted tax rates expected to apply to taxable income in the years in which those temporary differences are expected to be recovered or settled. The effect on deferred tax assets of a change in tax rates is recognized in income in the period that includes the enactment date.</w:t>
      </w:r>
    </w:p>
    <w:p>
      <w:pPr>
        <w:spacing w:after="0" w:line="197" w:lineRule="exact"/>
        <w:rPr>
          <w:sz w:val="20"/>
          <w:szCs w:val="20"/>
          <w:color w:val="auto"/>
        </w:rPr>
      </w:pPr>
    </w:p>
    <w:p>
      <w:pPr>
        <w:ind w:right="360" w:firstLine="490"/>
        <w:spacing w:after="0" w:line="246" w:lineRule="auto"/>
        <w:rPr>
          <w:sz w:val="20"/>
          <w:szCs w:val="20"/>
          <w:color w:val="auto"/>
        </w:rPr>
      </w:pPr>
      <w:r>
        <w:rPr>
          <w:rFonts w:ascii="Times New Roman" w:cs="Times New Roman" w:eastAsia="Times New Roman" w:hAnsi="Times New Roman"/>
          <w:sz w:val="20"/>
          <w:szCs w:val="20"/>
          <w:color w:val="auto"/>
        </w:rPr>
        <w:t>The Company recognizes positions taken or expected to be taken in a tax return in accordance with existing accounting guidance on income taxes which prescribes a recognition threshold and measurement process. Under GAAP, 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Interest and penalties on tax liabilities, if any, would be recorded in interest expense and other non-interest expense, respectively.</w:t>
      </w:r>
    </w:p>
    <w:p>
      <w:pPr>
        <w:spacing w:after="0" w:line="200" w:lineRule="exact"/>
        <w:rPr>
          <w:sz w:val="20"/>
          <w:szCs w:val="20"/>
          <w:color w:val="auto"/>
        </w:rPr>
      </w:pPr>
    </w:p>
    <w:p>
      <w:pPr>
        <w:ind w:right="240" w:firstLine="490"/>
        <w:spacing w:after="0" w:line="249" w:lineRule="auto"/>
        <w:rPr>
          <w:sz w:val="20"/>
          <w:szCs w:val="20"/>
          <w:color w:val="auto"/>
        </w:rPr>
      </w:pPr>
      <w:r>
        <w:rPr>
          <w:rFonts w:ascii="Times New Roman" w:cs="Times New Roman" w:eastAsia="Times New Roman" w:hAnsi="Times New Roman"/>
          <w:sz w:val="20"/>
          <w:szCs w:val="20"/>
          <w:color w:val="auto"/>
        </w:rPr>
        <w:t>In assessing the realizability of deferred tax assets, management considered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sectPr>
          <w:pgSz w:w="12240" w:h="15840" w:orient="portrait"/>
          <w:cols w:equalWidth="0" w:num="1">
            <w:col w:w="9540"/>
          </w:cols>
          <w:pgMar w:left="1260" w:top="224" w:right="1440" w:bottom="6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292929"/>
        </w:rPr>
        <w:t>F-14</w:t>
      </w:r>
    </w:p>
    <w:p>
      <w:pPr>
        <w:sectPr>
          <w:pgSz w:w="12240" w:h="15840" w:orient="portrait"/>
          <w:cols w:equalWidth="0" w:num="1">
            <w:col w:w="9540"/>
          </w:cols>
          <w:pgMar w:left="1260" w:top="224" w:right="1440" w:bottom="67" w:gutter="0" w:footer="0" w:header="0"/>
          <w:type w:val="continuous"/>
        </w:sectPr>
      </w:pPr>
    </w:p>
    <w:bookmarkStart w:id="80" w:name="page81"/>
    <w:bookmarkEnd w:id="80"/>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GEN RESTAURANT GROUP, INC.</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Notes to Consolidated Financial Statements</w:t>
      </w: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December 31, 2025 and 2024</w:t>
      </w:r>
    </w:p>
    <w:p>
      <w:pPr>
        <w:spacing w:after="0" w:line="295" w:lineRule="exact"/>
        <w:rPr>
          <w:sz w:val="20"/>
          <w:szCs w:val="20"/>
          <w:color w:val="auto"/>
        </w:rPr>
      </w:pPr>
    </w:p>
    <w:p>
      <w:pPr>
        <w:ind w:left="1200" w:hanging="480"/>
        <w:spacing w:after="0"/>
        <w:tabs>
          <w:tab w:leader="none" w:pos="1200" w:val="left"/>
        </w:tabs>
        <w:numPr>
          <w:ilvl w:val="0"/>
          <w:numId w:val="4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Long-Lived Assets</w:t>
      </w:r>
    </w:p>
    <w:p>
      <w:pPr>
        <w:spacing w:after="0" w:line="120" w:lineRule="exact"/>
        <w:rPr>
          <w:sz w:val="20"/>
          <w:szCs w:val="20"/>
          <w:color w:val="auto"/>
        </w:rPr>
      </w:pPr>
    </w:p>
    <w:p>
      <w:pPr>
        <w:ind w:right="180" w:firstLine="490"/>
        <w:spacing w:after="0" w:line="244" w:lineRule="auto"/>
        <w:rPr>
          <w:sz w:val="20"/>
          <w:szCs w:val="20"/>
          <w:color w:val="auto"/>
        </w:rPr>
      </w:pPr>
      <w:r>
        <w:rPr>
          <w:rFonts w:ascii="Times New Roman" w:cs="Times New Roman" w:eastAsia="Times New Roman" w:hAnsi="Times New Roman"/>
          <w:sz w:val="20"/>
          <w:szCs w:val="20"/>
          <w:color w:val="auto"/>
        </w:rPr>
        <w:t>Long-lived assets, such as property and equipment owned, are reviewed quarterly for impairment and whenever events or changes in circumstances indicate that the carrying amount of an asset may not be recoverable. If circumstances require a long- lived asset or asset group to be tested for possible impairment, undiscounted cash flows expected to be generated by that asset or asset group are compared to its carrying amount. If the carrying amount of the long-lived asset or asset group is not expected to be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 We assessed our long-lived assets for potential impairment with the result that no impairment charges were recorded in any of the periods presented.</w:t>
      </w:r>
    </w:p>
    <w:p>
      <w:pPr>
        <w:spacing w:after="0" w:line="316" w:lineRule="exact"/>
        <w:rPr>
          <w:sz w:val="20"/>
          <w:szCs w:val="20"/>
          <w:color w:val="auto"/>
        </w:rPr>
      </w:pPr>
    </w:p>
    <w:p>
      <w:pPr>
        <w:ind w:left="1200" w:hanging="480"/>
        <w:spacing w:after="0"/>
        <w:tabs>
          <w:tab w:leader="none" w:pos="1200" w:val="left"/>
        </w:tabs>
        <w:numPr>
          <w:ilvl w:val="0"/>
          <w:numId w:val="4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Interest (Expense) Income</w:t>
      </w:r>
    </w:p>
    <w:p>
      <w:pPr>
        <w:spacing w:after="0" w:line="109" w:lineRule="exact"/>
        <w:rPr>
          <w:sz w:val="20"/>
          <w:szCs w:val="20"/>
          <w:color w:val="auto"/>
        </w:rPr>
      </w:pPr>
    </w:p>
    <w:p>
      <w:pPr>
        <w:ind w:right="980" w:firstLine="490"/>
        <w:spacing w:after="0" w:line="265" w:lineRule="auto"/>
        <w:rPr>
          <w:sz w:val="20"/>
          <w:szCs w:val="20"/>
          <w:color w:val="auto"/>
        </w:rPr>
      </w:pPr>
      <w:r>
        <w:rPr>
          <w:rFonts w:ascii="Times New Roman" w:cs="Times New Roman" w:eastAsia="Times New Roman" w:hAnsi="Times New Roman"/>
          <w:sz w:val="20"/>
          <w:szCs w:val="20"/>
          <w:color w:val="auto"/>
        </w:rPr>
        <w:t>A reconciliation of total interest cost to interest expense as reported in the consolidated statements of operations for the years ended December 31, 2025 and December 31, 2024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0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4"/>
        </w:trPr>
        <w:tc>
          <w:tcPr>
            <w:tcW w:w="568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3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8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top w:val="single" w:sz="8" w:color="auto"/>
              <w:bottom w:val="single" w:sz="8" w:color="EAEAEA"/>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8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AEAEA"/>
            </w:tcBorders>
          </w:tcPr>
          <w:p>
            <w:pPr>
              <w:spacing w:after="0"/>
              <w:rPr>
                <w:sz w:val="17"/>
                <w:szCs w:val="17"/>
                <w:color w:val="auto"/>
              </w:rPr>
            </w:pPr>
          </w:p>
        </w:tc>
      </w:tr>
      <w:tr>
        <w:trPr>
          <w:trHeight w:val="239"/>
        </w:trPr>
        <w:tc>
          <w:tcPr>
            <w:tcW w:w="56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380" w:type="dxa"/>
            <w:vAlign w:val="bottom"/>
            <w:shd w:val="clear" w:color="auto" w:fill="EAEAEA"/>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(800)</w:t>
            </w:r>
          </w:p>
        </w:tc>
        <w:tc>
          <w:tcPr>
            <w:tcW w:w="280" w:type="dxa"/>
            <w:vAlign w:val="bottom"/>
            <w:shd w:val="clear" w:color="auto" w:fill="EAEAEA"/>
          </w:tcPr>
          <w:p>
            <w:pPr>
              <w:spacing w:after="0"/>
              <w:rPr>
                <w:sz w:val="20"/>
                <w:szCs w:val="20"/>
                <w:color w:val="auto"/>
              </w:rPr>
            </w:pPr>
          </w:p>
        </w:tc>
        <w:tc>
          <w:tcPr>
            <w:tcW w:w="380" w:type="dxa"/>
            <w:vAlign w:val="bottom"/>
            <w:shd w:val="clear" w:color="auto" w:fill="EAEAEA"/>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(399)</w:t>
            </w:r>
          </w:p>
        </w:tc>
        <w:tc>
          <w:tcPr>
            <w:tcW w:w="80" w:type="dxa"/>
            <w:vAlign w:val="bottom"/>
            <w:shd w:val="clear" w:color="auto" w:fill="EAEAEA"/>
          </w:tcPr>
          <w:p>
            <w:pPr>
              <w:spacing w:after="0"/>
              <w:rPr>
                <w:sz w:val="20"/>
                <w:szCs w:val="20"/>
                <w:color w:val="auto"/>
              </w:rPr>
            </w:pPr>
          </w:p>
        </w:tc>
      </w:tr>
      <w:tr>
        <w:trPr>
          <w:trHeight w:val="258"/>
        </w:trPr>
        <w:tc>
          <w:tcPr>
            <w:tcW w:w="568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568</w:t>
            </w:r>
          </w:p>
        </w:tc>
        <w:tc>
          <w:tcPr>
            <w:tcW w:w="280" w:type="dxa"/>
            <w:vAlign w:val="bottom"/>
            <w:tcBorders>
              <w:bottom w:val="single" w:sz="8" w:color="EAEAEA"/>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1,228</w:t>
            </w:r>
          </w:p>
        </w:tc>
        <w:tc>
          <w:tcPr>
            <w:tcW w:w="80" w:type="dxa"/>
            <w:vAlign w:val="bottom"/>
            <w:tcBorders>
              <w:bottom w:val="single" w:sz="8" w:color="EAEAEA"/>
            </w:tcBorders>
          </w:tcPr>
          <w:p>
            <w:pPr>
              <w:spacing w:after="0"/>
              <w:rPr>
                <w:sz w:val="22"/>
                <w:szCs w:val="22"/>
                <w:color w:val="auto"/>
              </w:rPr>
            </w:pPr>
          </w:p>
        </w:tc>
      </w:tr>
      <w:tr>
        <w:trPr>
          <w:trHeight w:val="253"/>
        </w:trPr>
        <w:tc>
          <w:tcPr>
            <w:tcW w:w="5680" w:type="dxa"/>
            <w:vAlign w:val="bottom"/>
            <w:shd w:val="clear" w:color="auto" w:fill="EAEAEA"/>
          </w:tcPr>
          <w:p>
            <w:pPr>
              <w:ind w:left="400"/>
              <w:spacing w:after="0"/>
              <w:rPr>
                <w:sz w:val="20"/>
                <w:szCs w:val="20"/>
                <w:color w:val="auto"/>
              </w:rPr>
            </w:pPr>
            <w:r>
              <w:rPr>
                <w:rFonts w:ascii="Times New Roman" w:cs="Times New Roman" w:eastAsia="Times New Roman" w:hAnsi="Times New Roman"/>
                <w:sz w:val="20"/>
                <w:szCs w:val="20"/>
                <w:color w:val="auto"/>
              </w:rPr>
              <w:t>Interest (expense) income, net</w:t>
            </w:r>
          </w:p>
        </w:tc>
        <w:tc>
          <w:tcPr>
            <w:tcW w:w="380" w:type="dxa"/>
            <w:vAlign w:val="bottom"/>
            <w:shd w:val="clear" w:color="auto" w:fill="EAEAEA"/>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(232)</w:t>
            </w:r>
          </w:p>
        </w:tc>
        <w:tc>
          <w:tcPr>
            <w:tcW w:w="280" w:type="dxa"/>
            <w:vAlign w:val="bottom"/>
            <w:shd w:val="clear" w:color="auto" w:fill="EAEAEA"/>
          </w:tcPr>
          <w:p>
            <w:pPr>
              <w:spacing w:after="0"/>
              <w:rPr>
                <w:sz w:val="22"/>
                <w:szCs w:val="22"/>
                <w:color w:val="auto"/>
              </w:rPr>
            </w:pPr>
          </w:p>
        </w:tc>
        <w:tc>
          <w:tcPr>
            <w:tcW w:w="380" w:type="dxa"/>
            <w:vAlign w:val="bottom"/>
            <w:shd w:val="clear" w:color="auto" w:fill="EAEAEA"/>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829</w:t>
            </w:r>
          </w:p>
        </w:tc>
        <w:tc>
          <w:tcPr>
            <w:tcW w:w="80" w:type="dxa"/>
            <w:vAlign w:val="bottom"/>
            <w:shd w:val="clear" w:color="auto" w:fill="EAEAEA"/>
          </w:tcPr>
          <w:p>
            <w:pPr>
              <w:spacing w:after="0"/>
              <w:rPr>
                <w:sz w:val="22"/>
                <w:szCs w:val="22"/>
                <w:color w:val="auto"/>
              </w:rPr>
            </w:pPr>
          </w:p>
        </w:tc>
      </w:tr>
    </w:tbl>
    <w:p>
      <w:pPr>
        <w:spacing w:after="0" w:line="200" w:lineRule="exact"/>
        <w:rPr>
          <w:sz w:val="20"/>
          <w:szCs w:val="20"/>
          <w:color w:val="auto"/>
        </w:rPr>
      </w:pPr>
    </w:p>
    <w:p>
      <w:pPr>
        <w:spacing w:after="0" w:line="350" w:lineRule="exact"/>
        <w:rPr>
          <w:sz w:val="20"/>
          <w:szCs w:val="20"/>
          <w:color w:val="auto"/>
        </w:rPr>
      </w:pPr>
    </w:p>
    <w:p>
      <w:pPr>
        <w:ind w:left="1200" w:hanging="480"/>
        <w:spacing w:after="0"/>
        <w:tabs>
          <w:tab w:leader="none" w:pos="1200" w:val="left"/>
        </w:tabs>
        <w:numPr>
          <w:ilvl w:val="0"/>
          <w:numId w:val="4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Liquor Licenses</w:t>
      </w:r>
    </w:p>
    <w:p>
      <w:pPr>
        <w:spacing w:after="0" w:line="109" w:lineRule="exact"/>
        <w:rPr>
          <w:sz w:val="20"/>
          <w:szCs w:val="20"/>
          <w:color w:val="auto"/>
        </w:rPr>
      </w:pPr>
    </w:p>
    <w:p>
      <w:pPr>
        <w:ind w:right="340" w:firstLine="490"/>
        <w:spacing w:after="0" w:line="265" w:lineRule="auto"/>
        <w:rPr>
          <w:sz w:val="20"/>
          <w:szCs w:val="20"/>
          <w:color w:val="auto"/>
        </w:rPr>
      </w:pPr>
      <w:r>
        <w:rPr>
          <w:rFonts w:ascii="Times New Roman" w:cs="Times New Roman" w:eastAsia="Times New Roman" w:hAnsi="Times New Roman"/>
          <w:sz w:val="20"/>
          <w:szCs w:val="20"/>
          <w:color w:val="auto"/>
        </w:rPr>
        <w:t>Liquor licenses are deemed to have indefinite useful lives and are quantitatively tested on an annual basis for impairment. Liquor licenses are included in other assets in the accompanying balance sheets.</w:t>
      </w:r>
    </w:p>
    <w:p>
      <w:pPr>
        <w:spacing w:after="0" w:line="289" w:lineRule="exact"/>
        <w:rPr>
          <w:sz w:val="20"/>
          <w:szCs w:val="20"/>
          <w:color w:val="auto"/>
        </w:rPr>
      </w:pPr>
    </w:p>
    <w:p>
      <w:pPr>
        <w:ind w:left="1200" w:hanging="480"/>
        <w:spacing w:after="0"/>
        <w:tabs>
          <w:tab w:leader="none" w:pos="1200" w:val="left"/>
        </w:tabs>
        <w:numPr>
          <w:ilvl w:val="0"/>
          <w:numId w:val="4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Sales Taxes</w:t>
      </w:r>
    </w:p>
    <w:p>
      <w:pPr>
        <w:spacing w:after="0" w:line="109" w:lineRule="exact"/>
        <w:rPr>
          <w:sz w:val="20"/>
          <w:szCs w:val="20"/>
          <w:color w:val="auto"/>
        </w:rPr>
      </w:pPr>
    </w:p>
    <w:p>
      <w:pPr>
        <w:ind w:right="440" w:firstLine="490"/>
        <w:spacing w:after="0"/>
        <w:rPr>
          <w:sz w:val="20"/>
          <w:szCs w:val="20"/>
          <w:color w:val="auto"/>
        </w:rPr>
      </w:pPr>
      <w:r>
        <w:rPr>
          <w:rFonts w:ascii="Times New Roman" w:cs="Times New Roman" w:eastAsia="Times New Roman" w:hAnsi="Times New Roman"/>
          <w:sz w:val="20"/>
          <w:szCs w:val="20"/>
          <w:color w:val="auto"/>
        </w:rPr>
        <w:t>Sales taxes are imposed by state, county, and city governmental authorities, collected from customers and remitted to the appropriate governmental agency. The Company’s policy is to record the sales taxes collected as a liability on the books and then remove the liability when the sales tax is remitted. There is no impact on the consolidated statements of operations as restaurant sales are recorded net of sales tax.</w:t>
      </w:r>
    </w:p>
    <w:p>
      <w:pPr>
        <w:spacing w:after="0" w:line="314" w:lineRule="exact"/>
        <w:rPr>
          <w:sz w:val="20"/>
          <w:szCs w:val="20"/>
          <w:color w:val="auto"/>
        </w:rPr>
      </w:pPr>
    </w:p>
    <w:p>
      <w:pPr>
        <w:ind w:left="1200" w:hanging="480"/>
        <w:spacing w:after="0"/>
        <w:tabs>
          <w:tab w:leader="none" w:pos="1200" w:val="left"/>
        </w:tabs>
        <w:numPr>
          <w:ilvl w:val="0"/>
          <w:numId w:val="4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Advertising Costs</w:t>
      </w:r>
    </w:p>
    <w:p>
      <w:pPr>
        <w:spacing w:after="0" w:line="109" w:lineRule="exact"/>
        <w:rPr>
          <w:sz w:val="20"/>
          <w:szCs w:val="20"/>
          <w:color w:val="auto"/>
        </w:rPr>
      </w:pPr>
    </w:p>
    <w:p>
      <w:pPr>
        <w:ind w:right="280" w:firstLine="490"/>
        <w:spacing w:after="0" w:line="246" w:lineRule="auto"/>
        <w:rPr>
          <w:sz w:val="20"/>
          <w:szCs w:val="20"/>
          <w:color w:val="auto"/>
        </w:rPr>
      </w:pPr>
      <w:r>
        <w:rPr>
          <w:rFonts w:ascii="Times New Roman" w:cs="Times New Roman" w:eastAsia="Times New Roman" w:hAnsi="Times New Roman"/>
          <w:sz w:val="20"/>
          <w:szCs w:val="20"/>
          <w:color w:val="auto"/>
        </w:rPr>
        <w:t>Advertising costs are expensed as incurred and are included in general and administrative expenses in the accompanying consolidated statements of operations. The Company incurred approximately $2.7 million and $661 thousand in advertising expenses for the years ended December 31, 2025 and December 31, 2024, respectively.</w:t>
      </w:r>
    </w:p>
    <w:p>
      <w:pPr>
        <w:spacing w:after="0" w:line="308" w:lineRule="exact"/>
        <w:rPr>
          <w:sz w:val="20"/>
          <w:szCs w:val="20"/>
          <w:color w:val="auto"/>
        </w:rPr>
      </w:pPr>
    </w:p>
    <w:p>
      <w:pPr>
        <w:ind w:left="1200" w:hanging="480"/>
        <w:spacing w:after="0"/>
        <w:tabs>
          <w:tab w:leader="none" w:pos="1200" w:val="left"/>
        </w:tabs>
        <w:numPr>
          <w:ilvl w:val="0"/>
          <w:numId w:val="45"/>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Risks and Uncertainties.</w:t>
      </w:r>
    </w:p>
    <w:p>
      <w:pPr>
        <w:spacing w:after="0" w:line="109" w:lineRule="exact"/>
        <w:rPr>
          <w:sz w:val="20"/>
          <w:szCs w:val="20"/>
          <w:color w:val="auto"/>
        </w:rPr>
      </w:pPr>
    </w:p>
    <w:p>
      <w:pPr>
        <w:ind w:right="240" w:firstLine="490"/>
        <w:spacing w:after="0" w:line="236" w:lineRule="auto"/>
        <w:rPr>
          <w:sz w:val="20"/>
          <w:szCs w:val="20"/>
          <w:color w:val="auto"/>
        </w:rPr>
      </w:pPr>
      <w:r>
        <w:rPr>
          <w:rFonts w:ascii="Times New Roman" w:cs="Times New Roman" w:eastAsia="Times New Roman" w:hAnsi="Times New Roman"/>
          <w:sz w:val="20"/>
          <w:szCs w:val="20"/>
          <w:color w:val="auto"/>
        </w:rPr>
        <w:t>The Company has experienced, and in the future may experience, inflation related to its purchase of certain food products that the Company needs to operate its business. This price volatility could potentially have a material impact on the Company’s financial condition and/or its results of operations. In order to mitigate price volatility, the Company monitors cost fluctuations and may adjust its menu prices accordingly. The Company’s ability to compensate for higher costs through increased pricing may be limited by the competitive environment in which the Company operates.</w:t>
      </w:r>
    </w:p>
    <w:p>
      <w:pPr>
        <w:spacing w:after="0" w:line="314" w:lineRule="exact"/>
        <w:rPr>
          <w:sz w:val="20"/>
          <w:szCs w:val="20"/>
          <w:color w:val="auto"/>
        </w:rPr>
      </w:pPr>
    </w:p>
    <w:p>
      <w:pPr>
        <w:ind w:left="1200" w:hanging="480"/>
        <w:spacing w:after="0"/>
        <w:tabs>
          <w:tab w:leader="none" w:pos="1200" w:val="left"/>
        </w:tabs>
        <w:numPr>
          <w:ilvl w:val="0"/>
          <w:numId w:val="4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Restaurant Revitalization Fund</w:t>
      </w:r>
    </w:p>
    <w:p>
      <w:pPr>
        <w:spacing w:after="0" w:line="109" w:lineRule="exact"/>
        <w:rPr>
          <w:sz w:val="20"/>
          <w:szCs w:val="20"/>
          <w:color w:val="auto"/>
        </w:rPr>
      </w:pPr>
    </w:p>
    <w:p>
      <w:pPr>
        <w:ind w:right="240" w:firstLine="490"/>
        <w:spacing w:after="0" w:line="235" w:lineRule="auto"/>
        <w:rPr>
          <w:sz w:val="20"/>
          <w:szCs w:val="20"/>
          <w:color w:val="auto"/>
        </w:rPr>
      </w:pPr>
      <w:r>
        <w:rPr>
          <w:rFonts w:ascii="Times New Roman" w:cs="Times New Roman" w:eastAsia="Times New Roman" w:hAnsi="Times New Roman"/>
          <w:sz w:val="20"/>
          <w:szCs w:val="20"/>
          <w:color w:val="auto"/>
        </w:rPr>
        <w:t>In 2021, several of the Company’s restaurants received a total of approximately $16.8 million from the Restaurant Revitalization Fund (“RRF”). The RRF funds must be used for specific purposes, and the Company was required to provide use of funds validation on an annual basis through March 2023. The Company accounted for the RRF funds as a government grant and has recognized the amounts as income as related expenses were incurred.</w:t>
      </w:r>
    </w:p>
    <w:p>
      <w:pPr>
        <w:spacing w:after="0" w:line="1" w:lineRule="exact"/>
        <w:rPr>
          <w:sz w:val="20"/>
          <w:szCs w:val="20"/>
          <w:color w:val="auto"/>
        </w:rPr>
      </w:pPr>
    </w:p>
    <w:p>
      <w:pPr>
        <w:ind w:right="460"/>
        <w:spacing w:after="0" w:line="238" w:lineRule="auto"/>
        <w:rPr>
          <w:sz w:val="20"/>
          <w:szCs w:val="20"/>
          <w:color w:val="auto"/>
        </w:rPr>
      </w:pPr>
      <w:r>
        <w:rPr>
          <w:rFonts w:ascii="Times New Roman" w:cs="Times New Roman" w:eastAsia="Times New Roman" w:hAnsi="Times New Roman"/>
          <w:sz w:val="20"/>
          <w:szCs w:val="20"/>
          <w:color w:val="auto"/>
        </w:rPr>
        <w:t>During the year ended December 31, 2022, the Company recognized approximately $13.0 million as RRF grant income and had deferred the remaining balance of $3.8 million. No RRF grant income was recognized during the</w:t>
      </w:r>
    </w:p>
    <w:p>
      <w:pPr>
        <w:sectPr>
          <w:pgSz w:w="12240" w:h="15840" w:orient="portrait"/>
          <w:cols w:equalWidth="0" w:num="1">
            <w:col w:w="9540"/>
          </w:cols>
          <w:pgMar w:left="1260" w:top="224" w:right="1440" w:bottom="67"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292929"/>
        </w:rPr>
        <w:t>F-15</w:t>
      </w:r>
    </w:p>
    <w:p>
      <w:pPr>
        <w:sectPr>
          <w:pgSz w:w="12240" w:h="15840" w:orient="portrait"/>
          <w:cols w:equalWidth="0" w:num="1">
            <w:col w:w="9540"/>
          </w:cols>
          <w:pgMar w:left="1260" w:top="224" w:right="1440" w:bottom="67" w:gutter="0" w:footer="0" w:header="0"/>
          <w:type w:val="continuous"/>
        </w:sectPr>
      </w:pPr>
    </w:p>
    <w:bookmarkStart w:id="81" w:name="page82"/>
    <w:bookmarkEnd w:id="81"/>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GEN RESTAURANT GROUP, INC.</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Notes to Consolidated Financial Statements</w:t>
      </w: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December 31, 2025 and 2024</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year ended December 31, 2025 and December 31, 2024.</w:t>
      </w:r>
    </w:p>
    <w:p>
      <w:pPr>
        <w:spacing w:after="0" w:line="358" w:lineRule="exact"/>
        <w:rPr>
          <w:sz w:val="20"/>
          <w:szCs w:val="20"/>
          <w:color w:val="auto"/>
        </w:rPr>
      </w:pPr>
    </w:p>
    <w:p>
      <w:pPr>
        <w:ind w:left="1200" w:hanging="480"/>
        <w:spacing w:after="0"/>
        <w:tabs>
          <w:tab w:leader="none" w:pos="1200" w:val="left"/>
        </w:tabs>
        <w:numPr>
          <w:ilvl w:val="0"/>
          <w:numId w:val="4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Employee Retention Credits</w:t>
      </w:r>
    </w:p>
    <w:p>
      <w:pPr>
        <w:spacing w:after="0" w:line="120" w:lineRule="exact"/>
        <w:rPr>
          <w:sz w:val="20"/>
          <w:szCs w:val="20"/>
          <w:color w:val="auto"/>
        </w:rPr>
      </w:pPr>
    </w:p>
    <w:p>
      <w:pPr>
        <w:ind w:right="200" w:firstLine="490"/>
        <w:spacing w:after="0" w:line="246" w:lineRule="auto"/>
        <w:rPr>
          <w:sz w:val="20"/>
          <w:szCs w:val="20"/>
          <w:color w:val="auto"/>
        </w:rPr>
      </w:pPr>
      <w:r>
        <w:rPr>
          <w:rFonts w:ascii="Times New Roman" w:cs="Times New Roman" w:eastAsia="Times New Roman" w:hAnsi="Times New Roman"/>
          <w:sz w:val="20"/>
          <w:szCs w:val="20"/>
          <w:color w:val="auto"/>
        </w:rPr>
        <w:t>In March 2020, the Coronavirus Aid, Relief, and Economic Security Act was signed into law, providing numerous tax provisions and other stimulus measures, including the Employee Retention Credit (“ERC”), a refundable tax credit against certain employment taxes. The Taxpayer Certainty and Disaster Tax Relief Act of 2020 and the American Rescue Plan Act of 2021 extended and expanded the availability of the ERC. We qualified for the ERC in the first and second quarters of 2019, second and fourth quarters of 2020 and first, second and third quarters of 2021. During the years ended December 31, 2025 and 2024, we recorded an aggregate benefit of $313 thousand and $199 thousand, respectively, in our consolidated statements of operations to reflect the ERC.</w:t>
      </w:r>
    </w:p>
    <w:p>
      <w:pPr>
        <w:spacing w:after="0" w:line="3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(v) Net (Loss) Income Per Share</w:t>
      </w:r>
    </w:p>
    <w:p>
      <w:pPr>
        <w:spacing w:after="0" w:line="120" w:lineRule="exact"/>
        <w:rPr>
          <w:sz w:val="20"/>
          <w:szCs w:val="20"/>
          <w:color w:val="auto"/>
        </w:rPr>
      </w:pPr>
    </w:p>
    <w:p>
      <w:pPr>
        <w:ind w:right="320" w:firstLine="490"/>
        <w:spacing w:after="0" w:line="246" w:lineRule="auto"/>
        <w:rPr>
          <w:sz w:val="20"/>
          <w:szCs w:val="20"/>
          <w:color w:val="auto"/>
        </w:rPr>
      </w:pPr>
      <w:r>
        <w:rPr>
          <w:rFonts w:ascii="Times New Roman" w:cs="Times New Roman" w:eastAsia="Times New Roman" w:hAnsi="Times New Roman"/>
          <w:sz w:val="20"/>
          <w:szCs w:val="20"/>
          <w:color w:val="auto"/>
        </w:rPr>
        <w:t>Basic net income (loss) per share is computed by dividing net income (loss) attributable to the Company by the weighted average number of shares outstanding during the period. Diluted net income (loss) per share is computed by giving effect to all potential weighted average dilutive shares including stock options, restricted stock units, dividend equivalent units, restricted stock awards, and Class B Common Units exchangeable for shares of Class A common stock. The dilutive effect of outstanding awards, if any, is reflected in diluted earnings per share by application of the treasury stock method or if-converted method, as applicable. See “Note 16—Net Income per Share.”</w:t>
      </w:r>
    </w:p>
    <w:p>
      <w:pPr>
        <w:spacing w:after="0" w:line="3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 Goodwill</w:t>
      </w:r>
    </w:p>
    <w:p>
      <w:pPr>
        <w:spacing w:after="0" w:line="120" w:lineRule="exact"/>
        <w:rPr>
          <w:sz w:val="20"/>
          <w:szCs w:val="20"/>
          <w:color w:val="auto"/>
        </w:rPr>
      </w:pPr>
    </w:p>
    <w:p>
      <w:pPr>
        <w:ind w:right="360" w:firstLine="490"/>
        <w:spacing w:after="0" w:line="249" w:lineRule="auto"/>
        <w:rPr>
          <w:sz w:val="20"/>
          <w:szCs w:val="20"/>
          <w:color w:val="auto"/>
        </w:rPr>
      </w:pPr>
      <w:r>
        <w:rPr>
          <w:rFonts w:ascii="Times New Roman" w:cs="Times New Roman" w:eastAsia="Times New Roman" w:hAnsi="Times New Roman"/>
          <w:sz w:val="20"/>
          <w:szCs w:val="20"/>
          <w:color w:val="auto"/>
        </w:rPr>
        <w:t>Goodwill is calculated under ASC 805-30-30, which represent the excess of the fair value of purchase consideration of an acquired business over the fair value of the identifiable net assets acquired. Goodwill is not amortized but is tested for impairment at a reporting unit level on an annual basis, or more frequently if circumstances change or an event occurs that would more likely than not reduce the fair value of the reporting unit below its carrying amount.</w:t>
      </w:r>
    </w:p>
    <w:p>
      <w:pPr>
        <w:spacing w:after="0" w:line="3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(x) Accounts Receivable</w:t>
      </w:r>
    </w:p>
    <w:p>
      <w:pPr>
        <w:spacing w:after="0" w:line="120" w:lineRule="exact"/>
        <w:rPr>
          <w:sz w:val="20"/>
          <w:szCs w:val="20"/>
          <w:color w:val="auto"/>
        </w:rPr>
      </w:pPr>
    </w:p>
    <w:p>
      <w:pPr>
        <w:ind w:right="400" w:firstLine="490"/>
        <w:spacing w:after="0" w:line="249" w:lineRule="auto"/>
        <w:rPr>
          <w:sz w:val="20"/>
          <w:szCs w:val="20"/>
          <w:color w:val="auto"/>
        </w:rPr>
      </w:pPr>
      <w:r>
        <w:rPr>
          <w:rFonts w:ascii="Times New Roman" w:cs="Times New Roman" w:eastAsia="Times New Roman" w:hAnsi="Times New Roman"/>
          <w:sz w:val="20"/>
          <w:szCs w:val="20"/>
          <w:color w:val="auto"/>
        </w:rPr>
        <w:t>Accounts receivable consist primarily of receivables from Costco for gift card sales. The collectability of accounts receivable is evaluated based on a variety of factors, including historical experience, current economic conditions and other factors. The Company had accounts receivable of $ 10.4 million and $3.5 million as of December 31, 2025 and 2024, respectively. The Company had a reserve for currently expected credit losses of $0 and $0 as of December 31, 2025 and 2024, respectively.</w:t>
      </w:r>
    </w:p>
    <w:p>
      <w:pPr>
        <w:spacing w:after="0" w:line="313" w:lineRule="exact"/>
        <w:rPr>
          <w:sz w:val="20"/>
          <w:szCs w:val="20"/>
          <w:color w:val="auto"/>
        </w:rPr>
      </w:pPr>
    </w:p>
    <w:p>
      <w:pPr>
        <w:ind w:left="480" w:hanging="480"/>
        <w:spacing w:after="0"/>
        <w:tabs>
          <w:tab w:leader="none" w:pos="48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Business Combinations</w:t>
      </w:r>
    </w:p>
    <w:p>
      <w:pPr>
        <w:spacing w:after="0" w:line="124" w:lineRule="exact"/>
        <w:rPr>
          <w:sz w:val="20"/>
          <w:szCs w:val="20"/>
          <w:color w:val="auto"/>
        </w:rPr>
      </w:pPr>
    </w:p>
    <w:p>
      <w:pPr>
        <w:ind w:right="220" w:firstLine="490"/>
        <w:spacing w:after="0" w:line="245" w:lineRule="auto"/>
        <w:rPr>
          <w:sz w:val="20"/>
          <w:szCs w:val="20"/>
          <w:color w:val="auto"/>
        </w:rPr>
      </w:pPr>
      <w:r>
        <w:rPr>
          <w:rFonts w:ascii="Times New Roman" w:cs="Times New Roman" w:eastAsia="Times New Roman" w:hAnsi="Times New Roman"/>
          <w:sz w:val="20"/>
          <w:szCs w:val="20"/>
          <w:color w:val="auto"/>
        </w:rPr>
        <w:t>On February 18, 2024, the Company acquired the remaining 50% interest in GKBH, which was previously accounted for under the equity method. GKBH has been consolidated in our consolidated financial statements commencing February 18, 2024, the date of the acquisition. The purchase price for the acquisition was allocated based on estimates of the fair value of the net assets acquired at the acquisition date, with the excess allocated to goodwill. The total consideration for the acquisition consisted of $6.0 million, payable in cash and a short term note payable. During the year ended December 31, 2024, we recognized approximately $370 thousand in acquisition-related costs, which were included with “Gain on remeasurement of previously held interest” in our consolidated statements of operations.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-139065</wp:posOffset>
                </wp:positionV>
                <wp:extent cx="5943600" cy="154305"/>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54305"/>
                        </a:xfrm>
                        <a:prstGeom prst="rect">
                          <a:avLst/>
                        </a:prstGeom>
                        <a:solidFill>
                          <a:srgbClr val="EAEAEA"/>
                        </a:solidFill>
                      </wps:spPr>
                      <wps:bodyPr/>
                    </wps:wsp>
                  </a:graphicData>
                </a:graphic>
              </wp:anchor>
            </w:drawing>
          </mc:Choice>
          <mc:Fallback>
            <w:pict>
              <v:rect id="Shape 52" o:spid="_x0000_s1077" style="position:absolute;margin-left:0pt;margin-top:-10.9499pt;width:468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Purchase price of 50% interest in GKBH</w:t>
            </w:r>
          </w:p>
        </w:tc>
        <w:tc>
          <w:tcPr>
            <w:tcW w:w="1880" w:type="dxa"/>
            <w:vAlign w:val="bottom"/>
            <w:gridSpan w:val="2"/>
          </w:tcPr>
          <w:p>
            <w:pPr>
              <w:jc w:val="right"/>
              <w:ind w:right="900"/>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6,000</w:t>
            </w:r>
          </w:p>
        </w:tc>
        <w:tc>
          <w:tcPr>
            <w:tcW w:w="60" w:type="dxa"/>
            <w:vAlign w:val="bottom"/>
          </w:tcPr>
          <w:p>
            <w:pPr>
              <w:spacing w:after="0"/>
              <w:rPr>
                <w:sz w:val="19"/>
                <w:szCs w:val="19"/>
                <w:color w:val="auto"/>
              </w:rPr>
            </w:pPr>
          </w:p>
        </w:tc>
      </w:tr>
      <w:tr>
        <w:trPr>
          <w:trHeight w:val="244"/>
        </w:trPr>
        <w:tc>
          <w:tcPr>
            <w:tcW w:w="596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Acquisition-date fair value of previously held interest (Level 2)</w:t>
            </w:r>
          </w:p>
        </w:tc>
        <w:tc>
          <w:tcPr>
            <w:tcW w:w="880" w:type="dxa"/>
            <w:vAlign w:val="bottom"/>
            <w:shd w:val="clear" w:color="auto" w:fill="EAEAEA"/>
          </w:tcPr>
          <w:p>
            <w:pPr>
              <w:spacing w:after="0"/>
              <w:rPr>
                <w:sz w:val="21"/>
                <w:szCs w:val="21"/>
                <w:color w:val="auto"/>
              </w:rPr>
            </w:pPr>
          </w:p>
        </w:tc>
        <w:tc>
          <w:tcPr>
            <w:tcW w:w="1000" w:type="dxa"/>
            <w:vAlign w:val="bottom"/>
            <w:tcBorders>
              <w:bottom w:val="single" w:sz="8" w:color="auto"/>
            </w:tcBorders>
            <w:shd w:val="clear" w:color="auto" w:fill="EAEAEA"/>
          </w:tcPr>
          <w:p>
            <w:pPr>
              <w:spacing w:after="0"/>
              <w:rPr>
                <w:sz w:val="21"/>
                <w:szCs w:val="21"/>
                <w:color w:val="auto"/>
              </w:rPr>
            </w:pPr>
          </w:p>
        </w:tc>
        <w:tc>
          <w:tcPr>
            <w:tcW w:w="146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4,286</w:t>
            </w:r>
          </w:p>
        </w:tc>
        <w:tc>
          <w:tcPr>
            <w:tcW w:w="60" w:type="dxa"/>
            <w:vAlign w:val="bottom"/>
            <w:shd w:val="clear" w:color="auto" w:fill="EAEAEA"/>
          </w:tcPr>
          <w:p>
            <w:pPr>
              <w:spacing w:after="0"/>
              <w:rPr>
                <w:sz w:val="21"/>
                <w:szCs w:val="21"/>
                <w:color w:val="auto"/>
              </w:rPr>
            </w:pPr>
          </w:p>
        </w:tc>
      </w:tr>
      <w:tr>
        <w:trPr>
          <w:trHeight w:val="239"/>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GKBH at acquisition date</w:t>
            </w:r>
          </w:p>
        </w:tc>
        <w:tc>
          <w:tcPr>
            <w:tcW w:w="8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10,286</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ectPr>
          <w:pgSz w:w="12240" w:h="15840" w:orient="portrait"/>
          <w:cols w:equalWidth="0" w:num="1">
            <w:col w:w="9540"/>
          </w:cols>
          <w:pgMar w:left="1260" w:top="224" w:right="1440" w:bottom="6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292929"/>
        </w:rPr>
        <w:t>F-16</w:t>
      </w:r>
    </w:p>
    <w:p>
      <w:pPr>
        <w:sectPr>
          <w:pgSz w:w="12240" w:h="15840" w:orient="portrait"/>
          <w:cols w:equalWidth="0" w:num="1">
            <w:col w:w="9540"/>
          </w:cols>
          <w:pgMar w:left="1260" w:top="224" w:right="1440" w:bottom="67"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19"/>
                <w:szCs w:val="19"/>
                <w:color w:val="auto"/>
              </w:rPr>
            </w:pPr>
          </w:p>
        </w:tc>
        <w:tc>
          <w:tcPr>
            <w:tcW w:w="4960" w:type="dxa"/>
            <w:vAlign w:val="bottom"/>
            <w:gridSpan w:val="2"/>
          </w:tcPr>
          <w:p>
            <w:pPr>
              <w:jc w:val="center"/>
              <w:ind w:right="1160"/>
              <w:spacing w:after="0"/>
              <w:rPr>
                <w:sz w:val="20"/>
                <w:szCs w:val="20"/>
                <w:color w:val="auto"/>
              </w:rPr>
            </w:pPr>
            <w:r>
              <w:rPr>
                <w:rFonts w:ascii="Times New Roman" w:cs="Times New Roman" w:eastAsia="Times New Roman" w:hAnsi="Times New Roman"/>
                <w:sz w:val="20"/>
                <w:szCs w:val="20"/>
                <w:b w:val="1"/>
                <w:bCs w:val="1"/>
                <w:color w:val="292929"/>
              </w:rPr>
              <w:t>GEN RESTAURANT GROUP, INC.</w:t>
            </w: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4960" w:type="dxa"/>
            <w:vAlign w:val="bottom"/>
            <w:gridSpan w:val="2"/>
          </w:tcPr>
          <w:p>
            <w:pPr>
              <w:jc w:val="center"/>
              <w:ind w:right="1160"/>
              <w:spacing w:after="0"/>
              <w:rPr>
                <w:sz w:val="20"/>
                <w:szCs w:val="20"/>
                <w:color w:val="auto"/>
              </w:rPr>
            </w:pPr>
            <w:r>
              <w:rPr>
                <w:rFonts w:ascii="Times New Roman" w:cs="Times New Roman" w:eastAsia="Times New Roman" w:hAnsi="Times New Roman"/>
                <w:sz w:val="20"/>
                <w:szCs w:val="20"/>
                <w:b w:val="1"/>
                <w:bCs w:val="1"/>
                <w:color w:val="292929"/>
              </w:rPr>
              <w:t>Notes to Consolidated Financial Statements</w:t>
            </w: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2780" w:type="dxa"/>
            <w:vAlign w:val="bottom"/>
          </w:tcPr>
          <w:p>
            <w:pPr>
              <w:spacing w:after="0"/>
              <w:rPr>
                <w:sz w:val="23"/>
                <w:szCs w:val="23"/>
                <w:color w:val="auto"/>
              </w:rPr>
            </w:pPr>
          </w:p>
        </w:tc>
        <w:tc>
          <w:tcPr>
            <w:tcW w:w="4960" w:type="dxa"/>
            <w:vAlign w:val="bottom"/>
            <w:gridSpan w:val="2"/>
          </w:tcPr>
          <w:p>
            <w:pPr>
              <w:jc w:val="center"/>
              <w:ind w:right="1160"/>
              <w:spacing w:after="0"/>
              <w:rPr>
                <w:sz w:val="20"/>
                <w:szCs w:val="20"/>
                <w:color w:val="auto"/>
              </w:rPr>
            </w:pPr>
            <w:r>
              <w:rPr>
                <w:rFonts w:ascii="Times New Roman" w:cs="Times New Roman" w:eastAsia="Times New Roman" w:hAnsi="Times New Roman"/>
                <w:sz w:val="20"/>
                <w:szCs w:val="20"/>
                <w:b w:val="1"/>
                <w:bCs w:val="1"/>
                <w:color w:val="292929"/>
              </w:rPr>
              <w:t>December 31, 2025 and 2024</w:t>
            </w: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6"/>
        </w:trPr>
        <w:tc>
          <w:tcPr>
            <w:tcW w:w="27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7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3900" w:type="dxa"/>
            <w:vAlign w:val="bottom"/>
            <w:shd w:val="clear" w:color="auto" w:fill="EAEAEA"/>
          </w:tcPr>
          <w:p>
            <w:pPr>
              <w:spacing w:after="0"/>
              <w:rPr>
                <w:sz w:val="21"/>
                <w:szCs w:val="21"/>
                <w:color w:val="auto"/>
              </w:rPr>
            </w:pPr>
          </w:p>
        </w:tc>
        <w:tc>
          <w:tcPr>
            <w:tcW w:w="1060" w:type="dxa"/>
            <w:vAlign w:val="bottom"/>
            <w:shd w:val="clear" w:color="auto" w:fill="EAEAEA"/>
          </w:tcPr>
          <w:p>
            <w:pPr>
              <w:spacing w:after="0"/>
              <w:rPr>
                <w:sz w:val="21"/>
                <w:szCs w:val="21"/>
                <w:color w:val="auto"/>
              </w:rPr>
            </w:pPr>
          </w:p>
        </w:tc>
        <w:tc>
          <w:tcPr>
            <w:tcW w:w="154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780" w:type="dxa"/>
            <w:vAlign w:val="bottom"/>
          </w:tcPr>
          <w:p>
            <w:pPr>
              <w:spacing w:after="0"/>
              <w:rPr>
                <w:sz w:val="20"/>
                <w:szCs w:val="20"/>
                <w:color w:val="auto"/>
              </w:rPr>
            </w:pPr>
            <w:r>
              <w:rPr>
                <w:rFonts w:ascii="Times New Roman" w:cs="Times New Roman" w:eastAsia="Times New Roman" w:hAnsi="Times New Roman"/>
                <w:sz w:val="20"/>
                <w:szCs w:val="20"/>
                <w:color w:val="auto"/>
              </w:rPr>
              <w:t>Cash</w:t>
            </w:r>
          </w:p>
        </w:tc>
        <w:tc>
          <w:tcPr>
            <w:tcW w:w="4960" w:type="dxa"/>
            <w:vAlign w:val="bottom"/>
            <w:gridSpan w:val="2"/>
          </w:tcPr>
          <w:p>
            <w:pPr>
              <w:jc w:val="right"/>
              <w:ind w:right="960"/>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7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Accounts Receivable</w:t>
            </w:r>
          </w:p>
        </w:tc>
        <w:tc>
          <w:tcPr>
            <w:tcW w:w="3900" w:type="dxa"/>
            <w:vAlign w:val="bottom"/>
            <w:shd w:val="clear" w:color="auto" w:fill="EAEAEA"/>
          </w:tcPr>
          <w:p>
            <w:pPr>
              <w:spacing w:after="0"/>
              <w:rPr>
                <w:sz w:val="21"/>
                <w:szCs w:val="21"/>
                <w:color w:val="auto"/>
              </w:rPr>
            </w:pPr>
          </w:p>
        </w:tc>
        <w:tc>
          <w:tcPr>
            <w:tcW w:w="1060" w:type="dxa"/>
            <w:vAlign w:val="bottom"/>
            <w:shd w:val="clear" w:color="auto" w:fill="EAEAEA"/>
          </w:tcPr>
          <w:p>
            <w:pPr>
              <w:spacing w:after="0"/>
              <w:rPr>
                <w:sz w:val="21"/>
                <w:szCs w:val="21"/>
                <w:color w:val="auto"/>
              </w:rPr>
            </w:pPr>
          </w:p>
        </w:tc>
        <w:tc>
          <w:tcPr>
            <w:tcW w:w="15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780" w:type="dxa"/>
            <w:vAlign w:val="bottom"/>
          </w:tcPr>
          <w:p>
            <w:pPr>
              <w:spacing w:after="0"/>
              <w:rPr>
                <w:sz w:val="20"/>
                <w:szCs w:val="20"/>
                <w:color w:val="auto"/>
              </w:rPr>
            </w:pPr>
            <w:r>
              <w:rPr>
                <w:rFonts w:ascii="Times New Roman" w:cs="Times New Roman" w:eastAsia="Times New Roman" w:hAnsi="Times New Roman"/>
                <w:sz w:val="20"/>
                <w:szCs w:val="20"/>
                <w:color w:val="auto"/>
              </w:rPr>
              <w:t>Inventories</w:t>
            </w:r>
          </w:p>
        </w:tc>
        <w:tc>
          <w:tcPr>
            <w:tcW w:w="39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7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Prepaid and Other assets</w:t>
            </w:r>
          </w:p>
        </w:tc>
        <w:tc>
          <w:tcPr>
            <w:tcW w:w="3900" w:type="dxa"/>
            <w:vAlign w:val="bottom"/>
            <w:shd w:val="clear" w:color="auto" w:fill="EAEAEA"/>
          </w:tcPr>
          <w:p>
            <w:pPr>
              <w:spacing w:after="0"/>
              <w:rPr>
                <w:sz w:val="21"/>
                <w:szCs w:val="21"/>
                <w:color w:val="auto"/>
              </w:rPr>
            </w:pPr>
          </w:p>
        </w:tc>
        <w:tc>
          <w:tcPr>
            <w:tcW w:w="1060" w:type="dxa"/>
            <w:vAlign w:val="bottom"/>
            <w:shd w:val="clear" w:color="auto" w:fill="EAEAEA"/>
          </w:tcPr>
          <w:p>
            <w:pPr>
              <w:spacing w:after="0"/>
              <w:rPr>
                <w:sz w:val="21"/>
                <w:szCs w:val="21"/>
                <w:color w:val="auto"/>
              </w:rPr>
            </w:pPr>
          </w:p>
        </w:tc>
        <w:tc>
          <w:tcPr>
            <w:tcW w:w="15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780" w:type="dxa"/>
            <w:vAlign w:val="bottom"/>
          </w:tcPr>
          <w:p>
            <w:pPr>
              <w:spacing w:after="0"/>
              <w:rPr>
                <w:sz w:val="20"/>
                <w:szCs w:val="20"/>
                <w:color w:val="auto"/>
              </w:rPr>
            </w:pPr>
            <w:r>
              <w:rPr>
                <w:rFonts w:ascii="Times New Roman" w:cs="Times New Roman" w:eastAsia="Times New Roman" w:hAnsi="Times New Roman"/>
                <w:sz w:val="20"/>
                <w:szCs w:val="20"/>
                <w:color w:val="auto"/>
              </w:rPr>
              <w:t>Deposits</w:t>
            </w:r>
          </w:p>
        </w:tc>
        <w:tc>
          <w:tcPr>
            <w:tcW w:w="39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7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Property and equipment</w:t>
            </w:r>
          </w:p>
        </w:tc>
        <w:tc>
          <w:tcPr>
            <w:tcW w:w="3900" w:type="dxa"/>
            <w:vAlign w:val="bottom"/>
            <w:shd w:val="clear" w:color="auto" w:fill="EAEAEA"/>
          </w:tcPr>
          <w:p>
            <w:pPr>
              <w:spacing w:after="0"/>
              <w:rPr>
                <w:sz w:val="21"/>
                <w:szCs w:val="21"/>
                <w:color w:val="auto"/>
              </w:rPr>
            </w:pPr>
          </w:p>
        </w:tc>
        <w:tc>
          <w:tcPr>
            <w:tcW w:w="1060" w:type="dxa"/>
            <w:vAlign w:val="bottom"/>
            <w:shd w:val="clear" w:color="auto" w:fill="EAEAEA"/>
          </w:tcPr>
          <w:p>
            <w:pPr>
              <w:spacing w:after="0"/>
              <w:rPr>
                <w:sz w:val="21"/>
                <w:szCs w:val="21"/>
                <w:color w:val="auto"/>
              </w:rPr>
            </w:pPr>
          </w:p>
        </w:tc>
        <w:tc>
          <w:tcPr>
            <w:tcW w:w="15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745</w:t>
            </w:r>
          </w:p>
        </w:tc>
        <w:tc>
          <w:tcPr>
            <w:tcW w:w="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78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right-of use assets</w:t>
            </w:r>
          </w:p>
        </w:tc>
        <w:tc>
          <w:tcPr>
            <w:tcW w:w="39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7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Liabilities assumed</w:t>
            </w:r>
          </w:p>
        </w:tc>
        <w:tc>
          <w:tcPr>
            <w:tcW w:w="3900" w:type="dxa"/>
            <w:vAlign w:val="bottom"/>
            <w:shd w:val="clear" w:color="auto" w:fill="EAEAEA"/>
          </w:tcPr>
          <w:p>
            <w:pPr>
              <w:spacing w:after="0"/>
              <w:rPr>
                <w:sz w:val="22"/>
                <w:szCs w:val="22"/>
                <w:color w:val="auto"/>
              </w:rPr>
            </w:pPr>
          </w:p>
        </w:tc>
        <w:tc>
          <w:tcPr>
            <w:tcW w:w="1060" w:type="dxa"/>
            <w:vAlign w:val="bottom"/>
            <w:shd w:val="clear" w:color="auto" w:fill="EAEAEA"/>
          </w:tcPr>
          <w:p>
            <w:pPr>
              <w:spacing w:after="0"/>
              <w:rPr>
                <w:sz w:val="22"/>
                <w:szCs w:val="22"/>
                <w:color w:val="auto"/>
              </w:rPr>
            </w:pPr>
          </w:p>
        </w:tc>
        <w:tc>
          <w:tcPr>
            <w:tcW w:w="162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(4,135)</w:t>
            </w:r>
          </w:p>
        </w:tc>
        <w:tc>
          <w:tcPr>
            <w:tcW w:w="0" w:type="dxa"/>
            <w:vAlign w:val="bottom"/>
          </w:tcPr>
          <w:p>
            <w:pPr>
              <w:spacing w:after="0"/>
              <w:rPr>
                <w:sz w:val="1"/>
                <w:szCs w:val="1"/>
                <w:color w:val="auto"/>
              </w:rPr>
            </w:pPr>
          </w:p>
        </w:tc>
      </w:tr>
      <w:tr>
        <w:trPr>
          <w:trHeight w:val="20"/>
        </w:trPr>
        <w:tc>
          <w:tcPr>
            <w:tcW w:w="2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Total identifiable net assets</w:t>
            </w:r>
          </w:p>
        </w:tc>
        <w:tc>
          <w:tcPr>
            <w:tcW w:w="39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780" w:type="dxa"/>
            <w:vAlign w:val="bottom"/>
            <w:vMerge w:val="continue"/>
          </w:tcPr>
          <w:p>
            <w:pPr>
              <w:spacing w:after="0"/>
              <w:rPr>
                <w:sz w:val="24"/>
                <w:szCs w:val="24"/>
                <w:color w:val="auto"/>
              </w:rPr>
            </w:pPr>
          </w:p>
        </w:tc>
        <w:tc>
          <w:tcPr>
            <w:tcW w:w="4960" w:type="dxa"/>
            <w:vAlign w:val="bottom"/>
            <w:gridSpan w:val="2"/>
          </w:tcPr>
          <w:p>
            <w:pPr>
              <w:jc w:val="right"/>
              <w:ind w:right="960"/>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78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7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Goodwill</w:t>
            </w:r>
          </w:p>
        </w:tc>
        <w:tc>
          <w:tcPr>
            <w:tcW w:w="3900" w:type="dxa"/>
            <w:vAlign w:val="bottom"/>
            <w:shd w:val="clear" w:color="auto" w:fill="EAEAEA"/>
          </w:tcPr>
          <w:p>
            <w:pPr>
              <w:spacing w:after="0"/>
              <w:rPr>
                <w:sz w:val="22"/>
                <w:szCs w:val="22"/>
                <w:color w:val="auto"/>
              </w:rPr>
            </w:pPr>
          </w:p>
        </w:tc>
        <w:tc>
          <w:tcPr>
            <w:tcW w:w="1060" w:type="dxa"/>
            <w:vAlign w:val="bottom"/>
            <w:tcBorders>
              <w:bottom w:val="single" w:sz="8" w:color="auto"/>
            </w:tcBorders>
            <w:shd w:val="clear" w:color="auto" w:fill="EAEAEA"/>
          </w:tcPr>
          <w:p>
            <w:pPr>
              <w:spacing w:after="0"/>
              <w:rPr>
                <w:sz w:val="22"/>
                <w:szCs w:val="22"/>
                <w:color w:val="auto"/>
              </w:rPr>
            </w:pPr>
          </w:p>
        </w:tc>
        <w:tc>
          <w:tcPr>
            <w:tcW w:w="154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9,498</w:t>
            </w:r>
          </w:p>
        </w:tc>
        <w:tc>
          <w:tcPr>
            <w:tcW w:w="80" w:type="dxa"/>
            <w:vAlign w:val="bottom"/>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780" w:type="dxa"/>
            <w:vAlign w:val="bottom"/>
          </w:tcPr>
          <w:p>
            <w:pPr>
              <w:spacing w:after="0"/>
              <w:rPr>
                <w:sz w:val="22"/>
                <w:szCs w:val="22"/>
                <w:color w:val="auto"/>
              </w:rPr>
            </w:pPr>
          </w:p>
        </w:tc>
        <w:tc>
          <w:tcPr>
            <w:tcW w:w="4960" w:type="dxa"/>
            <w:vAlign w:val="bottom"/>
            <w:gridSpan w:val="2"/>
          </w:tcPr>
          <w:p>
            <w:pPr>
              <w:jc w:val="right"/>
              <w:ind w:right="960"/>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10,286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
        </w:trPr>
        <w:tc>
          <w:tcPr>
            <w:tcW w:w="2780" w:type="dxa"/>
            <w:vAlign w:val="bottom"/>
          </w:tcPr>
          <w:p>
            <w:pPr>
              <w:spacing w:after="0"/>
              <w:rPr>
                <w:sz w:val="3"/>
                <w:szCs w:val="3"/>
                <w:color w:val="auto"/>
              </w:rPr>
            </w:pPr>
          </w:p>
        </w:tc>
        <w:tc>
          <w:tcPr>
            <w:tcW w:w="3900" w:type="dxa"/>
            <w:vAlign w:val="bottom"/>
          </w:tcPr>
          <w:p>
            <w:pPr>
              <w:spacing w:after="0"/>
              <w:rPr>
                <w:sz w:val="3"/>
                <w:szCs w:val="3"/>
                <w:color w:val="auto"/>
              </w:rPr>
            </w:pPr>
          </w:p>
        </w:tc>
        <w:tc>
          <w:tcPr>
            <w:tcW w:w="1060" w:type="dxa"/>
            <w:vAlign w:val="bottom"/>
            <w:shd w:val="clear" w:color="auto" w:fill="000000"/>
          </w:tcPr>
          <w:p>
            <w:pPr>
              <w:spacing w:after="0"/>
              <w:rPr>
                <w:sz w:val="3"/>
                <w:szCs w:val="3"/>
                <w:color w:val="auto"/>
              </w:rPr>
            </w:pPr>
          </w:p>
        </w:tc>
        <w:tc>
          <w:tcPr>
            <w:tcW w:w="154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ind w:right="260" w:firstLine="490"/>
        <w:spacing w:after="0" w:line="252" w:lineRule="auto"/>
        <w:rPr>
          <w:sz w:val="20"/>
          <w:szCs w:val="20"/>
          <w:color w:val="auto"/>
        </w:rPr>
      </w:pPr>
      <w:r>
        <w:rPr>
          <w:rFonts w:ascii="Times New Roman" w:cs="Times New Roman" w:eastAsia="Times New Roman" w:hAnsi="Times New Roman"/>
          <w:sz w:val="20"/>
          <w:szCs w:val="20"/>
          <w:color w:val="auto"/>
        </w:rPr>
        <w:t>Goodwill is calculated as the excess of the purchase price over the net assets acquired. The Company expects that a portion of the goodwill balance to be deductible for tax purposes over a period of 15 years. Goodwill is primarily attributed to growth and efficiency opportunities, expected synergies from combining the operation with the Company, and the assembled workforce.</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presents the unaudited supplemental consolidated pro forma results as if the acquisition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GKBH had occurred on January 1, 2024:</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 thousands, except per share data)</w:t>
            </w:r>
          </w:p>
        </w:tc>
        <w:tc>
          <w:tcPr>
            <w:tcW w:w="12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80" w:type="dxa"/>
            <w:vAlign w:val="bottom"/>
            <w:vMerge w:val="continue"/>
          </w:tcPr>
          <w:p>
            <w:pPr>
              <w:spacing w:after="0"/>
              <w:rPr>
                <w:sz w:val="22"/>
                <w:szCs w:val="22"/>
                <w:color w:val="auto"/>
              </w:rPr>
            </w:pPr>
          </w:p>
        </w:tc>
        <w:tc>
          <w:tcPr>
            <w:tcW w:w="1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60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40" w:type="dxa"/>
            <w:vAlign w:val="bottom"/>
          </w:tcPr>
          <w:p>
            <w:pPr>
              <w:jc w:val="right"/>
              <w:ind w:right="625"/>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4180" w:type="dxa"/>
            <w:vAlign w:val="bottom"/>
          </w:tcPr>
          <w:p>
            <w:pPr>
              <w:spacing w:after="0"/>
              <w:rPr>
                <w:sz w:val="19"/>
                <w:szCs w:val="19"/>
                <w:color w:val="auto"/>
              </w:rPr>
            </w:pPr>
          </w:p>
        </w:tc>
        <w:tc>
          <w:tcPr>
            <w:tcW w:w="1660" w:type="dxa"/>
            <w:vAlign w:val="bottom"/>
            <w:gridSpan w:val="2"/>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80" w:type="dxa"/>
            <w:vAlign w:val="bottom"/>
            <w:tcBorders>
              <w:top w:val="single" w:sz="8" w:color="EAEAEA"/>
            </w:tcBorders>
            <w:shd w:val="clear" w:color="auto" w:fill="EAEAEA"/>
          </w:tcPr>
          <w:p>
            <w:pPr>
              <w:ind w:left="100"/>
              <w:spacing w:after="0"/>
              <w:rPr>
                <w:sz w:val="20"/>
                <w:szCs w:val="20"/>
                <w:color w:val="auto"/>
              </w:rPr>
            </w:pPr>
            <w:r>
              <w:rPr>
                <w:rFonts w:ascii="Times New Roman" w:cs="Times New Roman" w:eastAsia="Times New Roman" w:hAnsi="Times New Roman"/>
                <w:sz w:val="20"/>
                <w:szCs w:val="20"/>
                <w:color w:val="auto"/>
              </w:rPr>
              <w:t>Revenue</w:t>
            </w:r>
          </w:p>
        </w:tc>
        <w:tc>
          <w:tcPr>
            <w:tcW w:w="1260" w:type="dxa"/>
            <w:vAlign w:val="bottom"/>
            <w:tcBorders>
              <w:top w:val="single" w:sz="8" w:color="EAEAEA"/>
            </w:tcBorders>
            <w:shd w:val="clear" w:color="auto" w:fill="EAEAEA"/>
          </w:tcPr>
          <w:p>
            <w:pPr>
              <w:spacing w:after="0"/>
              <w:rPr>
                <w:sz w:val="20"/>
                <w:szCs w:val="20"/>
                <w:color w:val="auto"/>
              </w:rPr>
            </w:pPr>
          </w:p>
        </w:tc>
        <w:tc>
          <w:tcPr>
            <w:tcW w:w="400" w:type="dxa"/>
            <w:vAlign w:val="bottom"/>
            <w:tcBorders>
              <w:top w:val="single" w:sz="8" w:color="auto"/>
            </w:tcBorders>
            <w:shd w:val="clear" w:color="auto" w:fill="EAEAEA"/>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top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212,541</w:t>
            </w:r>
          </w:p>
        </w:tc>
        <w:tc>
          <w:tcPr>
            <w:tcW w:w="100" w:type="dxa"/>
            <w:vAlign w:val="bottom"/>
            <w:tcBorders>
              <w:top w:val="single" w:sz="8" w:color="EAEAEA"/>
            </w:tcBorders>
            <w:shd w:val="clear" w:color="auto" w:fill="EAEAEA"/>
          </w:tcPr>
          <w:p>
            <w:pPr>
              <w:spacing w:after="0"/>
              <w:rPr>
                <w:sz w:val="20"/>
                <w:szCs w:val="20"/>
                <w:color w:val="auto"/>
              </w:rPr>
            </w:pPr>
          </w:p>
        </w:tc>
        <w:tc>
          <w:tcPr>
            <w:tcW w:w="1000" w:type="dxa"/>
            <w:vAlign w:val="bottom"/>
            <w:tcBorders>
              <w:top w:val="single" w:sz="8" w:color="auto"/>
            </w:tcBorders>
            <w:shd w:val="clear" w:color="auto" w:fill="EAEAEA"/>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208,972</w:t>
            </w:r>
          </w:p>
        </w:tc>
        <w:tc>
          <w:tcPr>
            <w:tcW w:w="60" w:type="dxa"/>
            <w:vAlign w:val="bottom"/>
            <w:tcBorders>
              <w:top w:val="single" w:sz="8" w:color="EAEAEA"/>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1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Net (loss) income before taxes</w:t>
            </w:r>
          </w:p>
        </w:tc>
        <w:tc>
          <w:tcPr>
            <w:tcW w:w="1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(20,305)</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3"/>
        </w:trPr>
        <w:tc>
          <w:tcPr>
            <w:tcW w:w="4180" w:type="dxa"/>
            <w:vAlign w:val="bottom"/>
            <w:shd w:val="clear" w:color="auto" w:fill="EAEAEA"/>
          </w:tcPr>
          <w:p>
            <w:pPr>
              <w:spacing w:after="0"/>
              <w:rPr>
                <w:sz w:val="7"/>
                <w:szCs w:val="7"/>
                <w:color w:val="auto"/>
              </w:rPr>
            </w:pPr>
          </w:p>
        </w:tc>
        <w:tc>
          <w:tcPr>
            <w:tcW w:w="1260" w:type="dxa"/>
            <w:vAlign w:val="bottom"/>
            <w:shd w:val="clear" w:color="auto" w:fill="EAEAEA"/>
          </w:tcPr>
          <w:p>
            <w:pPr>
              <w:spacing w:after="0"/>
              <w:rPr>
                <w:sz w:val="7"/>
                <w:szCs w:val="7"/>
                <w:color w:val="auto"/>
              </w:rPr>
            </w:pPr>
          </w:p>
        </w:tc>
        <w:tc>
          <w:tcPr>
            <w:tcW w:w="400" w:type="dxa"/>
            <w:vAlign w:val="bottom"/>
            <w:shd w:val="clear" w:color="auto" w:fill="EAEAEA"/>
          </w:tcPr>
          <w:p>
            <w:pPr>
              <w:spacing w:after="0"/>
              <w:rPr>
                <w:sz w:val="7"/>
                <w:szCs w:val="7"/>
                <w:color w:val="auto"/>
              </w:rPr>
            </w:pPr>
          </w:p>
        </w:tc>
        <w:tc>
          <w:tcPr>
            <w:tcW w:w="1320" w:type="dxa"/>
            <w:vAlign w:val="bottom"/>
            <w:shd w:val="clear" w:color="auto" w:fill="EAEAEA"/>
          </w:tcPr>
          <w:p>
            <w:pPr>
              <w:spacing w:after="0"/>
              <w:rPr>
                <w:sz w:val="7"/>
                <w:szCs w:val="7"/>
                <w:color w:val="auto"/>
              </w:rPr>
            </w:pPr>
          </w:p>
        </w:tc>
        <w:tc>
          <w:tcPr>
            <w:tcW w:w="100" w:type="dxa"/>
            <w:vAlign w:val="bottom"/>
            <w:shd w:val="clear" w:color="auto" w:fill="EAEAEA"/>
          </w:tcPr>
          <w:p>
            <w:pPr>
              <w:spacing w:after="0"/>
              <w:rPr>
                <w:sz w:val="7"/>
                <w:szCs w:val="7"/>
                <w:color w:val="auto"/>
              </w:rPr>
            </w:pPr>
          </w:p>
        </w:tc>
        <w:tc>
          <w:tcPr>
            <w:tcW w:w="1000" w:type="dxa"/>
            <w:vAlign w:val="bottom"/>
            <w:shd w:val="clear" w:color="auto" w:fill="EAEAEA"/>
          </w:tcPr>
          <w:p>
            <w:pPr>
              <w:spacing w:after="0"/>
              <w:rPr>
                <w:sz w:val="7"/>
                <w:szCs w:val="7"/>
                <w:color w:val="auto"/>
              </w:rPr>
            </w:pPr>
          </w:p>
        </w:tc>
        <w:tc>
          <w:tcPr>
            <w:tcW w:w="1040" w:type="dxa"/>
            <w:vAlign w:val="bottom"/>
            <w:shd w:val="clear" w:color="auto" w:fill="EAEAEA"/>
          </w:tcPr>
          <w:p>
            <w:pPr>
              <w:spacing w:after="0"/>
              <w:rPr>
                <w:sz w:val="7"/>
                <w:szCs w:val="7"/>
                <w:color w:val="auto"/>
              </w:rPr>
            </w:pPr>
          </w:p>
        </w:tc>
        <w:tc>
          <w:tcPr>
            <w:tcW w:w="60" w:type="dxa"/>
            <w:vAlign w:val="bottom"/>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41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(Loss) earnings per common share:</w:t>
            </w:r>
          </w:p>
        </w:tc>
        <w:tc>
          <w:tcPr>
            <w:tcW w:w="1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80" w:type="dxa"/>
            <w:vAlign w:val="bottom"/>
            <w:shd w:val="clear" w:color="auto" w:fill="EAEAEA"/>
          </w:tcPr>
          <w:p>
            <w:pPr>
              <w:ind w:left="400"/>
              <w:spacing w:after="0"/>
              <w:rPr>
                <w:sz w:val="20"/>
                <w:szCs w:val="20"/>
                <w:color w:val="auto"/>
              </w:rPr>
            </w:pPr>
            <w:r>
              <w:rPr>
                <w:rFonts w:ascii="Times New Roman" w:cs="Times New Roman" w:eastAsia="Times New Roman" w:hAnsi="Times New Roman"/>
                <w:sz w:val="20"/>
                <w:szCs w:val="20"/>
                <w:color w:val="auto"/>
              </w:rPr>
              <w:t>Basic and diluted</w:t>
            </w:r>
          </w:p>
        </w:tc>
        <w:tc>
          <w:tcPr>
            <w:tcW w:w="1660" w:type="dxa"/>
            <w:vAlign w:val="bottom"/>
            <w:gridSpan w:val="2"/>
            <w:shd w:val="clear" w:color="auto" w:fill="EAEAEA"/>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gridSpan w:val="2"/>
            <w:shd w:val="clear" w:color="auto" w:fill="EAEAEA"/>
          </w:tcPr>
          <w:p>
            <w:pPr>
              <w:jc w:val="right"/>
              <w:ind w:right="40"/>
              <w:spacing w:after="0"/>
              <w:rPr>
                <w:sz w:val="20"/>
                <w:szCs w:val="20"/>
                <w:color w:val="auto"/>
              </w:rPr>
            </w:pPr>
            <w:r>
              <w:rPr>
                <w:rFonts w:ascii="Times New Roman" w:cs="Times New Roman" w:eastAsia="Times New Roman" w:hAnsi="Times New Roman"/>
                <w:sz w:val="20"/>
                <w:szCs w:val="20"/>
                <w:color w:val="auto"/>
              </w:rPr>
              <w:t>(0.59)</w:t>
            </w:r>
          </w:p>
        </w:tc>
        <w:tc>
          <w:tcPr>
            <w:tcW w:w="1000" w:type="dxa"/>
            <w:vAlign w:val="bottom"/>
            <w:shd w:val="clear" w:color="auto" w:fill="EAEAEA"/>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0.13</w:t>
            </w:r>
          </w:p>
        </w:tc>
        <w:tc>
          <w:tcPr>
            <w:tcW w:w="6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right="280" w:firstLine="490"/>
        <w:spacing w:after="0" w:line="246" w:lineRule="auto"/>
        <w:rPr>
          <w:sz w:val="20"/>
          <w:szCs w:val="20"/>
          <w:color w:val="auto"/>
        </w:rPr>
      </w:pPr>
      <w:r>
        <w:rPr>
          <w:rFonts w:ascii="Times New Roman" w:cs="Times New Roman" w:eastAsia="Times New Roman" w:hAnsi="Times New Roman"/>
          <w:sz w:val="20"/>
          <w:szCs w:val="20"/>
          <w:color w:val="auto"/>
        </w:rPr>
        <w:t>The pro forma financial information reflects the acquisition of GKBH by the application of pro forma adjustments to the Company’s historical financial statements as if the acquisition had occurred on January 1, 2023. The unaudited pro forma financial information should not be considered indicative of actual results that would have been achieved had the acquisition of GKBH actually been consummated on the date indicated and does not purport to be indicative of the Company’s future financial position or results of operations. There were no material nonrecurring pro forma adjustments directly attributable to the acquisition included within the pro forma financial information.</w:t>
      </w:r>
    </w:p>
    <w:p>
      <w:pPr>
        <w:spacing w:after="0" w:line="200" w:lineRule="exact"/>
        <w:rPr>
          <w:sz w:val="20"/>
          <w:szCs w:val="20"/>
          <w:color w:val="auto"/>
        </w:rPr>
      </w:pPr>
    </w:p>
    <w:p>
      <w:pPr>
        <w:ind w:right="580" w:firstLine="490"/>
        <w:spacing w:after="0" w:line="258" w:lineRule="auto"/>
        <w:rPr>
          <w:sz w:val="20"/>
          <w:szCs w:val="20"/>
          <w:color w:val="auto"/>
        </w:rPr>
      </w:pPr>
      <w:r>
        <w:rPr>
          <w:rFonts w:ascii="Times New Roman" w:cs="Times New Roman" w:eastAsia="Times New Roman" w:hAnsi="Times New Roman"/>
          <w:sz w:val="20"/>
          <w:szCs w:val="20"/>
          <w:color w:val="auto"/>
        </w:rPr>
        <w:t>The fair value of the previously held noncontrolling interest was determined based on the fair value of the total consideration transferred and application of a discount for lack of control, which was determined using historical market data on control premiums and other industry data.</w:t>
      </w:r>
    </w:p>
    <w:p>
      <w:pPr>
        <w:spacing w:after="0" w:line="304" w:lineRule="exact"/>
        <w:rPr>
          <w:sz w:val="20"/>
          <w:szCs w:val="20"/>
          <w:color w:val="auto"/>
        </w:rPr>
      </w:pPr>
    </w:p>
    <w:p>
      <w:pPr>
        <w:ind w:left="480" w:hanging="480"/>
        <w:spacing w:after="0"/>
        <w:tabs>
          <w:tab w:leader="none" w:pos="48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of Financial Instruments</w:t>
      </w:r>
    </w:p>
    <w:p>
      <w:pPr>
        <w:spacing w:after="0" w:line="124" w:lineRule="exact"/>
        <w:rPr>
          <w:sz w:val="20"/>
          <w:szCs w:val="20"/>
          <w:color w:val="auto"/>
        </w:rPr>
      </w:pPr>
    </w:p>
    <w:p>
      <w:pPr>
        <w:ind w:right="300" w:firstLine="490"/>
        <w:spacing w:after="0" w:line="249" w:lineRule="auto"/>
        <w:rPr>
          <w:sz w:val="20"/>
          <w:szCs w:val="20"/>
          <w:color w:val="auto"/>
        </w:rPr>
      </w:pPr>
      <w:r>
        <w:rPr>
          <w:rFonts w:ascii="Times New Roman" w:cs="Times New Roman" w:eastAsia="Times New Roman" w:hAnsi="Times New Roman"/>
          <w:sz w:val="20"/>
          <w:szCs w:val="20"/>
          <w:color w:val="auto"/>
        </w:rPr>
        <w:t>The Company's financial instruments consist of cash and cash equivalents, accounts receivable, accounts payable, operating lease liabilities, notes payable, and line of credit balances. The carrying amounts reported in the accompanying consolidated balance sheets for cash and cash equivalents, accounts receivable, accounts payable, notes payable, and line of credit balances approximate fair value because of the short-term maturity of those instruments. Fair value measurements are classified and disclosed in one of the following three categories:</w:t>
      </w:r>
    </w:p>
    <w:p>
      <w:pPr>
        <w:spacing w:after="0" w:line="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auto"/>
        </w:rPr>
        <w:t xml:space="preserve">Level 1 </w:t>
      </w:r>
      <w:r>
        <w:rPr>
          <w:rFonts w:ascii="Times New Roman" w:cs="Times New Roman" w:eastAsia="Times New Roman" w:hAnsi="Times New Roman"/>
          <w:sz w:val="20"/>
          <w:szCs w:val="20"/>
          <w:color w:val="auto"/>
        </w:rPr>
        <w:t>- Quoted prices in active markets for identical assets or liabilities.</w:t>
      </w:r>
    </w:p>
    <w:p>
      <w:pPr>
        <w:spacing w:after="0" w:line="120" w:lineRule="exact"/>
        <w:rPr>
          <w:sz w:val="20"/>
          <w:szCs w:val="20"/>
          <w:color w:val="auto"/>
        </w:rPr>
      </w:pPr>
    </w:p>
    <w:p>
      <w:pPr>
        <w:jc w:val="both"/>
        <w:ind w:left="480" w:right="360"/>
        <w:spacing w:after="0" w:line="261" w:lineRule="auto"/>
        <w:rPr>
          <w:sz w:val="20"/>
          <w:szCs w:val="20"/>
          <w:color w:val="auto"/>
        </w:rPr>
      </w:pPr>
      <w:r>
        <w:rPr>
          <w:rFonts w:ascii="Times New Roman" w:cs="Times New Roman" w:eastAsia="Times New Roman" w:hAnsi="Times New Roman"/>
          <w:sz w:val="20"/>
          <w:szCs w:val="20"/>
          <w:b w:val="1"/>
          <w:bCs w:val="1"/>
          <w:color w:val="auto"/>
        </w:rPr>
        <w:t xml:space="preserve">Level 2 </w:t>
      </w:r>
      <w:r>
        <w:rPr>
          <w:rFonts w:ascii="Times New Roman" w:cs="Times New Roman" w:eastAsia="Times New Roman" w:hAnsi="Times New Roman"/>
          <w:sz w:val="20"/>
          <w:szCs w:val="20"/>
          <w:color w:val="auto"/>
        </w:rPr>
        <w:t>- Inputs other than Level 1 that are observable, either directly or indirectly, such as quoted prices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similar assets or liabilities; quoted prices in markets that are not active; or other inputs that are observable or can be corroborated by observable market data for substantially the full term of the assets or liabilities.</w:t>
      </w:r>
    </w:p>
    <w:p>
      <w:pPr>
        <w:sectPr>
          <w:pgSz w:w="12240" w:h="15840" w:orient="portrait"/>
          <w:cols w:equalWidth="0" w:num="1">
            <w:col w:w="9540"/>
          </w:cols>
          <w:pgMar w:left="1260" w:top="223" w:right="1440" w:bottom="67" w:gutter="0" w:footer="0" w:header="0"/>
        </w:sectPr>
      </w:pPr>
    </w:p>
    <w:p>
      <w:pPr>
        <w:spacing w:after="0" w:line="34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292929"/>
        </w:rPr>
        <w:t>F-17</w:t>
      </w:r>
    </w:p>
    <w:p>
      <w:pPr>
        <w:sectPr>
          <w:pgSz w:w="12240" w:h="15840" w:orient="portrait"/>
          <w:cols w:equalWidth="0" w:num="1">
            <w:col w:w="9540"/>
          </w:cols>
          <w:pgMar w:left="1260" w:top="223" w:right="1440" w:bottom="67" w:gutter="0" w:footer="0" w:header="0"/>
          <w:type w:val="continuous"/>
        </w:sectPr>
      </w:pPr>
    </w:p>
    <w:bookmarkStart w:id="83" w:name="page84"/>
    <w:bookmarkEnd w:id="83"/>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GEN RESTAURANT GROUP, INC.</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Notes to Consolidated Financial Statements</w:t>
      </w: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December 31, 2025 and 2024</w:t>
      </w:r>
    </w:p>
    <w:p>
      <w:pPr>
        <w:spacing w:after="0" w:line="291" w:lineRule="exact"/>
        <w:rPr>
          <w:sz w:val="20"/>
          <w:szCs w:val="20"/>
          <w:color w:val="auto"/>
        </w:rPr>
      </w:pPr>
    </w:p>
    <w:p>
      <w:pPr>
        <w:ind w:left="480" w:right="360"/>
        <w:spacing w:after="0" w:line="281" w:lineRule="auto"/>
        <w:rPr>
          <w:sz w:val="20"/>
          <w:szCs w:val="20"/>
          <w:color w:val="auto"/>
        </w:rPr>
      </w:pPr>
      <w:r>
        <w:rPr>
          <w:rFonts w:ascii="Times New Roman" w:cs="Times New Roman" w:eastAsia="Times New Roman" w:hAnsi="Times New Roman"/>
          <w:sz w:val="20"/>
          <w:szCs w:val="20"/>
          <w:b w:val="1"/>
          <w:bCs w:val="1"/>
          <w:color w:val="auto"/>
        </w:rPr>
        <w:t xml:space="preserve">Level 3 </w:t>
      </w:r>
      <w:r>
        <w:rPr>
          <w:rFonts w:ascii="Times New Roman" w:cs="Times New Roman" w:eastAsia="Times New Roman" w:hAnsi="Times New Roman"/>
          <w:sz w:val="20"/>
          <w:szCs w:val="20"/>
          <w:color w:val="auto"/>
        </w:rPr>
        <w:t>- Unobservable inputs that are supported by little or no market activity and that are significant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fair value of the assets of liabilities.</w:t>
      </w:r>
    </w:p>
    <w:p>
      <w:pPr>
        <w:spacing w:after="0" w:line="165" w:lineRule="exact"/>
        <w:rPr>
          <w:sz w:val="20"/>
          <w:szCs w:val="20"/>
          <w:color w:val="auto"/>
        </w:rPr>
      </w:pPr>
    </w:p>
    <w:p>
      <w:pPr>
        <w:ind w:right="440" w:firstLine="490"/>
        <w:spacing w:after="0" w:line="258" w:lineRule="auto"/>
        <w:rPr>
          <w:sz w:val="20"/>
          <w:szCs w:val="20"/>
          <w:color w:val="auto"/>
        </w:rPr>
      </w:pPr>
      <w:r>
        <w:rPr>
          <w:rFonts w:ascii="Times New Roman" w:cs="Times New Roman" w:eastAsia="Times New Roman" w:hAnsi="Times New Roman"/>
          <w:sz w:val="20"/>
          <w:szCs w:val="20"/>
          <w:color w:val="auto"/>
        </w:rPr>
        <w:t>As of December 31, 2025, all of the Company's financial assets that were subject to fair value measurement were valued using observable inputs. The Company's financial assets valued based on Level 1 inputs consist of cash, money market funds, and U.S. treasury securities.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Fair Value Measurements at December 31,</w:t>
            </w:r>
          </w:p>
        </w:tc>
        <w:tc>
          <w:tcPr>
            <w:tcW w:w="80" w:type="dxa"/>
            <w:vAlign w:val="bottom"/>
          </w:tcPr>
          <w:p>
            <w:pPr>
              <w:spacing w:after="0"/>
              <w:rPr>
                <w:sz w:val="16"/>
                <w:szCs w:val="16"/>
                <w:color w:val="auto"/>
              </w:rPr>
            </w:pPr>
          </w:p>
        </w:tc>
      </w:tr>
      <w:tr>
        <w:trPr>
          <w:trHeight w:val="203"/>
        </w:trPr>
        <w:tc>
          <w:tcPr>
            <w:tcW w:w="4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4080" w:type="dxa"/>
            <w:vAlign w:val="bottom"/>
            <w:shd w:val="clear" w:color="auto" w:fill="EAEAEA"/>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80" w:type="dxa"/>
            <w:vAlign w:val="bottom"/>
            <w:tcBorders>
              <w:bottom w:val="single" w:sz="8" w:color="auto"/>
            </w:tcBorders>
            <w:shd w:val="clear" w:color="auto" w:fill="EAEAEA"/>
          </w:tcPr>
          <w:p>
            <w:pPr>
              <w:ind w:left="2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shd w:val="clear" w:color="auto" w:fill="EAEAEA"/>
          </w:tcPr>
          <w:p>
            <w:pPr>
              <w:spacing w:after="0"/>
              <w:rPr>
                <w:sz w:val="18"/>
                <w:szCs w:val="18"/>
                <w:color w:val="auto"/>
              </w:rPr>
            </w:pPr>
          </w:p>
        </w:tc>
        <w:tc>
          <w:tcPr>
            <w:tcW w:w="1120" w:type="dxa"/>
            <w:vAlign w:val="bottom"/>
            <w:tcBorders>
              <w:bottom w:val="single" w:sz="8" w:color="auto"/>
            </w:tcBorders>
            <w:shd w:val="clear" w:color="auto" w:fill="EAEAEA"/>
          </w:tcPr>
          <w:p>
            <w:pPr>
              <w:ind w:left="3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80" w:type="dxa"/>
            <w:vAlign w:val="bottom"/>
            <w:shd w:val="clear" w:color="auto" w:fill="EAEAEA"/>
          </w:tcPr>
          <w:p>
            <w:pPr>
              <w:spacing w:after="0"/>
              <w:rPr>
                <w:sz w:val="18"/>
                <w:szCs w:val="18"/>
                <w:color w:val="auto"/>
              </w:rPr>
            </w:pPr>
          </w:p>
        </w:tc>
        <w:tc>
          <w:tcPr>
            <w:tcW w:w="880" w:type="dxa"/>
            <w:vAlign w:val="bottom"/>
            <w:tcBorders>
              <w:bottom w:val="single" w:sz="8" w:color="auto"/>
            </w:tcBorders>
            <w:shd w:val="clear" w:color="auto" w:fill="EAEAEA"/>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80" w:type="dxa"/>
            <w:vAlign w:val="bottom"/>
            <w:shd w:val="clear" w:color="auto" w:fill="EAEAEA"/>
          </w:tcPr>
          <w:p>
            <w:pPr>
              <w:spacing w:after="0"/>
              <w:rPr>
                <w:sz w:val="18"/>
                <w:szCs w:val="18"/>
                <w:color w:val="auto"/>
              </w:rPr>
            </w:pPr>
          </w:p>
        </w:tc>
        <w:tc>
          <w:tcPr>
            <w:tcW w:w="860" w:type="dxa"/>
            <w:vAlign w:val="bottom"/>
            <w:tcBorders>
              <w:bottom w:val="single" w:sz="8" w:color="auto"/>
            </w:tcBorders>
            <w:shd w:val="clear" w:color="auto" w:fill="EAEAEA"/>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shd w:val="clear" w:color="auto" w:fill="EAEAEA"/>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3535045</wp:posOffset>
            </wp:positionH>
            <wp:positionV relativeFrom="paragraph">
              <wp:posOffset>-158750</wp:posOffset>
            </wp:positionV>
            <wp:extent cx="209105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6">
                      <a:extLst>
                        <a:ext uri="{28A0092B-C50C-407E-A947-70E740481C1C}"/>
                      </a:extLst>
                    </a:blip>
                    <a:srcRect/>
                    <a:stretch>
                      <a:fillRect/>
                    </a:stretch>
                  </pic:blipFill>
                  <pic:spPr bwMode="auto">
                    <a:xfrm>
                      <a:off x="0" y="0"/>
                      <a:ext cx="2091055" cy="3810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25"/>
        </w:trPr>
        <w:tc>
          <w:tcPr>
            <w:tcW w:w="4080" w:type="dxa"/>
            <w:vAlign w:val="bottom"/>
          </w:tcPr>
          <w:p>
            <w:pPr>
              <w:ind w:left="60"/>
              <w:spacing w:after="0" w:line="225" w:lineRule="exact"/>
              <w:rPr>
                <w:sz w:val="20"/>
                <w:szCs w:val="20"/>
                <w:color w:val="auto"/>
              </w:rPr>
            </w:pPr>
            <w:r>
              <w:rPr>
                <w:rFonts w:ascii="Times New Roman" w:cs="Times New Roman" w:eastAsia="Times New Roman" w:hAnsi="Times New Roman"/>
                <w:sz w:val="20"/>
                <w:szCs w:val="20"/>
                <w:color w:val="auto"/>
              </w:rPr>
              <w:t>Money Market Account (included in Cash and</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9"/>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ind w:left="540"/>
              <w:spacing w:after="0"/>
              <w:rPr>
                <w:sz w:val="20"/>
                <w:szCs w:val="20"/>
                <w:color w:val="auto"/>
              </w:rPr>
            </w:pPr>
            <w:r>
              <w:rPr>
                <w:rFonts w:ascii="Times New Roman" w:cs="Times New Roman" w:eastAsia="Times New Roman" w:hAnsi="Times New Roman"/>
                <w:sz w:val="20"/>
                <w:szCs w:val="20"/>
                <w:color w:val="auto"/>
                <w:w w:val="99"/>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w:t>
            </w:r>
          </w:p>
        </w:tc>
      </w:tr>
      <w:tr>
        <w:trPr>
          <w:trHeight w:val="225"/>
        </w:trPr>
        <w:tc>
          <w:tcPr>
            <w:tcW w:w="4080" w:type="dxa"/>
            <w:vAlign w:val="bottom"/>
            <w:shd w:val="clear" w:color="auto" w:fill="EAEAEA"/>
          </w:tcPr>
          <w:p>
            <w:pPr>
              <w:ind w:left="60"/>
              <w:spacing w:after="0" w:line="225" w:lineRule="exact"/>
              <w:rPr>
                <w:sz w:val="20"/>
                <w:szCs w:val="20"/>
                <w:color w:val="auto"/>
              </w:rPr>
            </w:pPr>
            <w:r>
              <w:rPr>
                <w:rFonts w:ascii="Times New Roman" w:cs="Times New Roman" w:eastAsia="Times New Roman" w:hAnsi="Times New Roman"/>
                <w:sz w:val="20"/>
                <w:szCs w:val="20"/>
                <w:color w:val="auto"/>
              </w:rPr>
              <w:t>U.S. Treasury Securities (included in Cash and</w:t>
            </w:r>
          </w:p>
        </w:tc>
        <w:tc>
          <w:tcPr>
            <w:tcW w:w="200" w:type="dxa"/>
            <w:vAlign w:val="bottom"/>
            <w:shd w:val="clear" w:color="auto" w:fill="EAEAEA"/>
          </w:tcPr>
          <w:p>
            <w:pPr>
              <w:spacing w:after="0"/>
              <w:rPr>
                <w:sz w:val="19"/>
                <w:szCs w:val="19"/>
                <w:color w:val="auto"/>
              </w:rPr>
            </w:pPr>
          </w:p>
        </w:tc>
        <w:tc>
          <w:tcPr>
            <w:tcW w:w="68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100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76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480" w:type="dxa"/>
            <w:vAlign w:val="bottom"/>
            <w:shd w:val="clear" w:color="auto" w:fill="EAEAEA"/>
          </w:tcPr>
          <w:p>
            <w:pPr>
              <w:spacing w:after="0"/>
              <w:rPr>
                <w:sz w:val="19"/>
                <w:szCs w:val="19"/>
                <w:color w:val="auto"/>
              </w:rPr>
            </w:pPr>
          </w:p>
        </w:tc>
        <w:tc>
          <w:tcPr>
            <w:tcW w:w="48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r>
      <w:tr>
        <w:trPr>
          <w:trHeight w:val="249"/>
        </w:trPr>
        <w:tc>
          <w:tcPr>
            <w:tcW w:w="40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Cash Equivalents)</w:t>
            </w:r>
          </w:p>
        </w:tc>
        <w:tc>
          <w:tcPr>
            <w:tcW w:w="2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30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30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EAEAEA"/>
          </w:tcPr>
          <w:p>
            <w:pPr>
              <w:ind w:left="540"/>
              <w:spacing w:after="0"/>
              <w:rPr>
                <w:sz w:val="20"/>
                <w:szCs w:val="20"/>
                <w:color w:val="auto"/>
              </w:rPr>
            </w:pPr>
            <w:r>
              <w:rPr>
                <w:rFonts w:ascii="Times New Roman" w:cs="Times New Roman" w:eastAsia="Times New Roman" w:hAnsi="Times New Roman"/>
                <w:sz w:val="20"/>
                <w:szCs w:val="20"/>
                <w:color w:val="auto"/>
                <w:w w:val="99"/>
              </w:rPr>
              <w:t>—</w:t>
            </w:r>
          </w:p>
        </w:tc>
        <w:tc>
          <w:tcPr>
            <w:tcW w:w="560" w:type="dxa"/>
            <w:vAlign w:val="bottom"/>
            <w:gridSpan w:val="2"/>
            <w:shd w:val="clear" w:color="auto" w:fill="EAEAEA"/>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gridSpan w:val="2"/>
            <w:shd w:val="clear" w:color="auto" w:fill="EAEAEA"/>
          </w:tcPr>
          <w:p>
            <w:pPr>
              <w:ind w:left="280"/>
              <w:spacing w:after="0"/>
              <w:rPr>
                <w:sz w:val="20"/>
                <w:szCs w:val="20"/>
                <w:color w:val="auto"/>
              </w:rPr>
            </w:pPr>
            <w:r>
              <w:rPr>
                <w:rFonts w:ascii="Times New Roman" w:cs="Times New Roman" w:eastAsia="Times New Roman" w:hAnsi="Times New Roman"/>
                <w:sz w:val="20"/>
                <w:szCs w:val="20"/>
                <w:color w:val="auto"/>
              </w:rPr>
              <w:t>—</w:t>
            </w:r>
          </w:p>
        </w:tc>
      </w:tr>
      <w:tr>
        <w:trPr>
          <w:trHeight w:val="423"/>
        </w:trPr>
        <w:tc>
          <w:tcPr>
            <w:tcW w:w="4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gridSpan w:val="8"/>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Measurements at December 31,</w:t>
            </w:r>
          </w:p>
        </w:tc>
      </w:tr>
      <w:tr>
        <w:trPr>
          <w:trHeight w:val="203"/>
        </w:trPr>
        <w:tc>
          <w:tcPr>
            <w:tcW w:w="4080" w:type="dxa"/>
            <w:vAlign w:val="bottom"/>
            <w:tcBorders>
              <w:bottom w:val="single" w:sz="8" w:color="EAEAEA"/>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80" w:type="dxa"/>
            <w:vAlign w:val="bottom"/>
            <w:tcBorders>
              <w:bottom w:val="single" w:sz="8" w:color="EAEAEA"/>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Borders>
              <w:bottom w:val="single" w:sz="8" w:color="EAEAEA"/>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AEAEA"/>
            </w:tcBorders>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Borders>
              <w:bottom w:val="single" w:sz="8" w:color="EAEAEA"/>
            </w:tcBorders>
          </w:tcPr>
          <w:p>
            <w:pPr>
              <w:spacing w:after="0"/>
              <w:rPr>
                <w:sz w:val="17"/>
                <w:szCs w:val="17"/>
                <w:color w:val="auto"/>
              </w:rPr>
            </w:pPr>
          </w:p>
        </w:tc>
      </w:tr>
      <w:tr>
        <w:trPr>
          <w:trHeight w:val="220"/>
        </w:trPr>
        <w:tc>
          <w:tcPr>
            <w:tcW w:w="4080" w:type="dxa"/>
            <w:vAlign w:val="bottom"/>
            <w:shd w:val="clear" w:color="auto" w:fill="EAEAEA"/>
          </w:tcPr>
          <w:p>
            <w:pPr>
              <w:ind w:left="60"/>
              <w:spacing w:after="0" w:line="220" w:lineRule="exact"/>
              <w:rPr>
                <w:sz w:val="20"/>
                <w:szCs w:val="20"/>
                <w:color w:val="auto"/>
              </w:rPr>
            </w:pPr>
            <w:r>
              <w:rPr>
                <w:rFonts w:ascii="Times New Roman" w:cs="Times New Roman" w:eastAsia="Times New Roman" w:hAnsi="Times New Roman"/>
                <w:sz w:val="20"/>
                <w:szCs w:val="20"/>
                <w:color w:val="auto"/>
              </w:rPr>
              <w:t>Money Market Account (included in Cash and</w:t>
            </w:r>
          </w:p>
        </w:tc>
        <w:tc>
          <w:tcPr>
            <w:tcW w:w="200" w:type="dxa"/>
            <w:vAlign w:val="bottom"/>
            <w:shd w:val="clear" w:color="auto" w:fill="EAEAEA"/>
          </w:tcPr>
          <w:p>
            <w:pPr>
              <w:spacing w:after="0"/>
              <w:rPr>
                <w:sz w:val="19"/>
                <w:szCs w:val="19"/>
                <w:color w:val="auto"/>
              </w:rPr>
            </w:pPr>
          </w:p>
        </w:tc>
        <w:tc>
          <w:tcPr>
            <w:tcW w:w="68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100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76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480" w:type="dxa"/>
            <w:vAlign w:val="bottom"/>
            <w:shd w:val="clear" w:color="auto" w:fill="EAEAEA"/>
          </w:tcPr>
          <w:p>
            <w:pPr>
              <w:spacing w:after="0"/>
              <w:rPr>
                <w:sz w:val="19"/>
                <w:szCs w:val="19"/>
                <w:color w:val="auto"/>
              </w:rPr>
            </w:pPr>
          </w:p>
        </w:tc>
        <w:tc>
          <w:tcPr>
            <w:tcW w:w="48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r>
      <w:tr>
        <w:trPr>
          <w:trHeight w:val="250"/>
        </w:trPr>
        <w:tc>
          <w:tcPr>
            <w:tcW w:w="40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Cash Equivalents)</w:t>
            </w:r>
          </w:p>
        </w:tc>
        <w:tc>
          <w:tcPr>
            <w:tcW w:w="2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6,459</w:t>
            </w:r>
          </w:p>
        </w:tc>
        <w:tc>
          <w:tcPr>
            <w:tcW w:w="180" w:type="dxa"/>
            <w:vAlign w:val="bottom"/>
            <w:shd w:val="clear" w:color="auto" w:fill="EAEAEA"/>
          </w:tcPr>
          <w:p>
            <w:pPr>
              <w:spacing w:after="0"/>
              <w:rPr>
                <w:sz w:val="21"/>
                <w:szCs w:val="21"/>
                <w:color w:val="auto"/>
              </w:rPr>
            </w:pPr>
          </w:p>
        </w:tc>
        <w:tc>
          <w:tcPr>
            <w:tcW w:w="1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6,459</w:t>
            </w:r>
          </w:p>
        </w:tc>
        <w:tc>
          <w:tcPr>
            <w:tcW w:w="80" w:type="dxa"/>
            <w:vAlign w:val="bottom"/>
            <w:shd w:val="clear" w:color="auto" w:fill="EAEAEA"/>
          </w:tcPr>
          <w:p>
            <w:pPr>
              <w:spacing w:after="0"/>
              <w:rPr>
                <w:sz w:val="21"/>
                <w:szCs w:val="21"/>
                <w:color w:val="auto"/>
              </w:rPr>
            </w:pPr>
          </w:p>
        </w:tc>
        <w:tc>
          <w:tcPr>
            <w:tcW w:w="2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EAEAEA"/>
          </w:tcPr>
          <w:p>
            <w:pPr>
              <w:ind w:left="540"/>
              <w:spacing w:after="0"/>
              <w:rPr>
                <w:sz w:val="20"/>
                <w:szCs w:val="20"/>
                <w:color w:val="auto"/>
              </w:rPr>
            </w:pPr>
            <w:r>
              <w:rPr>
                <w:rFonts w:ascii="Times New Roman" w:cs="Times New Roman" w:eastAsia="Times New Roman" w:hAnsi="Times New Roman"/>
                <w:sz w:val="20"/>
                <w:szCs w:val="20"/>
                <w:color w:val="auto"/>
                <w:w w:val="99"/>
              </w:rPr>
              <w:t>—</w:t>
            </w:r>
          </w:p>
        </w:tc>
        <w:tc>
          <w:tcPr>
            <w:tcW w:w="80" w:type="dxa"/>
            <w:vAlign w:val="bottom"/>
            <w:shd w:val="clear" w:color="auto" w:fill="EAEAEA"/>
          </w:tcPr>
          <w:p>
            <w:pPr>
              <w:spacing w:after="0"/>
              <w:rPr>
                <w:sz w:val="21"/>
                <w:szCs w:val="21"/>
                <w:color w:val="auto"/>
              </w:rPr>
            </w:pPr>
          </w:p>
        </w:tc>
        <w:tc>
          <w:tcPr>
            <w:tcW w:w="480" w:type="dxa"/>
            <w:vAlign w:val="bottom"/>
            <w:shd w:val="clear" w:color="auto" w:fill="EAEAEA"/>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shd w:val="clear" w:color="auto" w:fill="EAEAEA"/>
          </w:tcPr>
          <w:p>
            <w:pPr>
              <w:ind w:left="280"/>
              <w:spacing w:after="0"/>
              <w:rPr>
                <w:sz w:val="20"/>
                <w:szCs w:val="20"/>
                <w:color w:val="auto"/>
              </w:rPr>
            </w:pPr>
            <w:r>
              <w:rPr>
                <w:rFonts w:ascii="Times New Roman" w:cs="Times New Roman" w:eastAsia="Times New Roman" w:hAnsi="Times New Roman"/>
                <w:sz w:val="20"/>
                <w:szCs w:val="20"/>
                <w:color w:val="auto"/>
                <w:w w:val="89"/>
              </w:rPr>
              <w:t>—</w:t>
            </w:r>
          </w:p>
        </w:tc>
        <w:tc>
          <w:tcPr>
            <w:tcW w:w="80" w:type="dxa"/>
            <w:vAlign w:val="bottom"/>
            <w:shd w:val="clear" w:color="auto" w:fill="EAEAEA"/>
          </w:tcPr>
          <w:p>
            <w:pPr>
              <w:spacing w:after="0"/>
              <w:rPr>
                <w:sz w:val="21"/>
                <w:szCs w:val="21"/>
                <w:color w:val="auto"/>
              </w:rPr>
            </w:pPr>
          </w:p>
        </w:tc>
      </w:tr>
      <w:tr>
        <w:trPr>
          <w:trHeight w:val="224"/>
        </w:trPr>
        <w:tc>
          <w:tcPr>
            <w:tcW w:w="4080" w:type="dxa"/>
            <w:vAlign w:val="bottom"/>
          </w:tcPr>
          <w:p>
            <w:pPr>
              <w:ind w:left="60"/>
              <w:spacing w:after="0" w:line="225" w:lineRule="exact"/>
              <w:rPr>
                <w:sz w:val="20"/>
                <w:szCs w:val="20"/>
                <w:color w:val="auto"/>
              </w:rPr>
            </w:pPr>
            <w:r>
              <w:rPr>
                <w:rFonts w:ascii="Times New Roman" w:cs="Times New Roman" w:eastAsia="Times New Roman" w:hAnsi="Times New Roman"/>
                <w:sz w:val="20"/>
                <w:szCs w:val="20"/>
                <w:color w:val="auto"/>
              </w:rPr>
              <w:t>U.S. Treasury Securities (included in Cash and</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66"/>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14,317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14,317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ind w:left="540"/>
              <w:spacing w:after="0"/>
              <w:rPr>
                <w:sz w:val="20"/>
                <w:szCs w:val="20"/>
                <w:color w:val="auto"/>
              </w:rPr>
            </w:pPr>
            <w:r>
              <w:rPr>
                <w:rFonts w:ascii="Times New Roman" w:cs="Times New Roman" w:eastAsia="Times New Roman" w:hAnsi="Times New Roman"/>
                <w:sz w:val="20"/>
                <w:szCs w:val="20"/>
                <w:color w:val="auto"/>
                <w:w w:val="99"/>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3535045</wp:posOffset>
            </wp:positionH>
            <wp:positionV relativeFrom="paragraph">
              <wp:posOffset>-635635</wp:posOffset>
            </wp:positionV>
            <wp:extent cx="209105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7">
                      <a:extLst>
                        <a:ext uri="{28A0092B-C50C-407E-A947-70E740481C1C}"/>
                      </a:extLst>
                    </a:blip>
                    <a:srcRect/>
                    <a:stretch>
                      <a:fillRect/>
                    </a:stretch>
                  </pic:blipFill>
                  <pic:spPr bwMode="auto">
                    <a:xfrm>
                      <a:off x="0" y="0"/>
                      <a:ext cx="2091055" cy="3810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80" w:hanging="480"/>
        <w:spacing w:after="0"/>
        <w:tabs>
          <w:tab w:leader="none" w:pos="48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Property and Equipment, Net</w:t>
      </w:r>
    </w:p>
    <w:p>
      <w:pPr>
        <w:spacing w:after="0" w:line="124" w:lineRule="exact"/>
        <w:rPr>
          <w:rFonts w:ascii="Times New Roman" w:cs="Times New Roman" w:eastAsia="Times New Roman" w:hAnsi="Times New Roman"/>
          <w:sz w:val="20"/>
          <w:szCs w:val="20"/>
          <w:b w:val="1"/>
          <w:bCs w:val="1"/>
          <w:color w:val="auto"/>
        </w:rPr>
      </w:pPr>
    </w:p>
    <w:p>
      <w:pPr>
        <w:ind w:left="4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costs and related accumulated depreciation and amortization of major classes of property: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0" w:type="dxa"/>
            <w:vAlign w:val="bottom"/>
          </w:tcPr>
          <w:p>
            <w:pPr>
              <w:spacing w:after="0"/>
              <w:rPr>
                <w:sz w:val="1"/>
                <w:szCs w:val="1"/>
                <w:color w:val="auto"/>
              </w:rPr>
            </w:pPr>
          </w:p>
        </w:tc>
      </w:tr>
      <w:tr>
        <w:trPr>
          <w:trHeight w:val="203"/>
        </w:trPr>
        <w:tc>
          <w:tcPr>
            <w:tcW w:w="6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34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63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Equipment</w:t>
            </w:r>
          </w:p>
        </w:tc>
        <w:tc>
          <w:tcPr>
            <w:tcW w:w="320" w:type="dxa"/>
            <w:vAlign w:val="bottom"/>
            <w:shd w:val="clear" w:color="auto" w:fill="EAEAEA"/>
          </w:tcPr>
          <w:p>
            <w:pPr>
              <w:spacing w:after="0"/>
              <w:rPr>
                <w:sz w:val="21"/>
                <w:szCs w:val="21"/>
                <w:color w:val="auto"/>
              </w:rPr>
            </w:pPr>
          </w:p>
        </w:tc>
        <w:tc>
          <w:tcPr>
            <w:tcW w:w="1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19,554</w:t>
            </w:r>
          </w:p>
        </w:tc>
        <w:tc>
          <w:tcPr>
            <w:tcW w:w="240" w:type="dxa"/>
            <w:vAlign w:val="bottom"/>
            <w:shd w:val="clear" w:color="auto" w:fill="EAEAEA"/>
          </w:tcPr>
          <w:p>
            <w:pPr>
              <w:spacing w:after="0"/>
              <w:rPr>
                <w:sz w:val="21"/>
                <w:szCs w:val="21"/>
                <w:color w:val="auto"/>
              </w:rPr>
            </w:pPr>
          </w:p>
        </w:tc>
        <w:tc>
          <w:tcPr>
            <w:tcW w:w="420" w:type="dxa"/>
            <w:vAlign w:val="bottom"/>
            <w:shd w:val="clear" w:color="auto" w:fill="EAEAEA"/>
          </w:tcPr>
          <w:p>
            <w:pPr>
              <w:spacing w:after="0"/>
              <w:rPr>
                <w:sz w:val="21"/>
                <w:szCs w:val="21"/>
                <w:color w:val="auto"/>
              </w:rPr>
            </w:pPr>
          </w:p>
        </w:tc>
        <w:tc>
          <w:tcPr>
            <w:tcW w:w="9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16,597</w:t>
            </w:r>
          </w:p>
        </w:tc>
        <w:tc>
          <w:tcPr>
            <w:tcW w:w="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8,133</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6,678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320" w:type="dxa"/>
            <w:vAlign w:val="bottom"/>
            <w:shd w:val="clear" w:color="auto" w:fill="EAEAEA"/>
          </w:tcPr>
          <w:p>
            <w:pPr>
              <w:spacing w:after="0"/>
              <w:rPr>
                <w:sz w:val="21"/>
                <w:szCs w:val="21"/>
                <w:color w:val="auto"/>
              </w:rPr>
            </w:pPr>
          </w:p>
        </w:tc>
        <w:tc>
          <w:tcPr>
            <w:tcW w:w="1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66,522</w:t>
            </w:r>
          </w:p>
        </w:tc>
        <w:tc>
          <w:tcPr>
            <w:tcW w:w="240" w:type="dxa"/>
            <w:vAlign w:val="bottom"/>
            <w:shd w:val="clear" w:color="auto" w:fill="EAEAEA"/>
          </w:tcPr>
          <w:p>
            <w:pPr>
              <w:spacing w:after="0"/>
              <w:rPr>
                <w:sz w:val="21"/>
                <w:szCs w:val="21"/>
                <w:color w:val="auto"/>
              </w:rPr>
            </w:pPr>
          </w:p>
        </w:tc>
        <w:tc>
          <w:tcPr>
            <w:tcW w:w="420" w:type="dxa"/>
            <w:vAlign w:val="bottom"/>
            <w:shd w:val="clear" w:color="auto" w:fill="EAEAEA"/>
          </w:tcPr>
          <w:p>
            <w:pPr>
              <w:spacing w:after="0"/>
              <w:rPr>
                <w:sz w:val="21"/>
                <w:szCs w:val="21"/>
                <w:color w:val="auto"/>
              </w:rPr>
            </w:pPr>
          </w:p>
        </w:tc>
        <w:tc>
          <w:tcPr>
            <w:tcW w:w="9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55,275</w:t>
            </w:r>
          </w:p>
        </w:tc>
        <w:tc>
          <w:tcPr>
            <w:tcW w:w="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340" w:type="dxa"/>
            <w:vAlign w:val="bottom"/>
            <w:tcBorders>
              <w:bottom w:val="single" w:sz="8" w:color="EAEAEA"/>
            </w:tcBorders>
            <w:shd w:val="clear" w:color="auto" w:fill="EAEAEA"/>
          </w:tcPr>
          <w:p>
            <w:pPr>
              <w:spacing w:after="0"/>
              <w:rPr>
                <w:sz w:val="20"/>
                <w:szCs w:val="20"/>
                <w:color w:val="auto"/>
              </w:rPr>
            </w:pPr>
            <w:r>
              <w:rPr>
                <w:rFonts w:ascii="Times New Roman" w:cs="Times New Roman" w:eastAsia="Times New Roman" w:hAnsi="Times New Roman"/>
                <w:sz w:val="20"/>
                <w:szCs w:val="20"/>
                <w:color w:val="auto"/>
              </w:rPr>
              <w:t>Construction in progress</w:t>
            </w:r>
          </w:p>
        </w:tc>
        <w:tc>
          <w:tcPr>
            <w:tcW w:w="320" w:type="dxa"/>
            <w:vAlign w:val="bottom"/>
            <w:tcBorders>
              <w:bottom w:val="single" w:sz="8" w:color="auto"/>
            </w:tcBorders>
            <w:shd w:val="clear" w:color="auto" w:fill="EAEAEA"/>
          </w:tcPr>
          <w:p>
            <w:pPr>
              <w:spacing w:after="0"/>
              <w:rPr>
                <w:sz w:val="22"/>
                <w:szCs w:val="22"/>
                <w:color w:val="auto"/>
              </w:rPr>
            </w:pPr>
          </w:p>
        </w:tc>
        <w:tc>
          <w:tcPr>
            <w:tcW w:w="104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14,369</w:t>
            </w:r>
          </w:p>
        </w:tc>
        <w:tc>
          <w:tcPr>
            <w:tcW w:w="240" w:type="dxa"/>
            <w:vAlign w:val="bottom"/>
            <w:tcBorders>
              <w:bottom w:val="single" w:sz="8" w:color="EAEAEA"/>
            </w:tcBorders>
            <w:shd w:val="clear" w:color="auto" w:fill="EAEAEA"/>
          </w:tcPr>
          <w:p>
            <w:pPr>
              <w:spacing w:after="0"/>
              <w:rPr>
                <w:sz w:val="22"/>
                <w:szCs w:val="22"/>
                <w:color w:val="auto"/>
              </w:rPr>
            </w:pPr>
          </w:p>
        </w:tc>
        <w:tc>
          <w:tcPr>
            <w:tcW w:w="420" w:type="dxa"/>
            <w:vAlign w:val="bottom"/>
            <w:tcBorders>
              <w:bottom w:val="single" w:sz="8" w:color="auto"/>
            </w:tcBorders>
            <w:shd w:val="clear" w:color="auto" w:fill="EAEAEA"/>
          </w:tcPr>
          <w:p>
            <w:pPr>
              <w:spacing w:after="0"/>
              <w:rPr>
                <w:sz w:val="22"/>
                <w:szCs w:val="22"/>
                <w:color w:val="auto"/>
              </w:rPr>
            </w:pPr>
          </w:p>
        </w:tc>
        <w:tc>
          <w:tcPr>
            <w:tcW w:w="92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12,809</w:t>
            </w:r>
          </w:p>
        </w:tc>
        <w:tc>
          <w:tcPr>
            <w:tcW w:w="80" w:type="dxa"/>
            <w:vAlign w:val="bottom"/>
            <w:tcBorders>
              <w:bottom w:val="single" w:sz="8" w:color="EAEAEA"/>
            </w:tcBorders>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340" w:type="dxa"/>
            <w:vAlign w:val="bottom"/>
            <w:tcBorders>
              <w:bottom w:val="single" w:sz="8" w:color="EAEAEA"/>
            </w:tcBorders>
          </w:tcPr>
          <w:p>
            <w:pPr>
              <w:spacing w:after="0" w:line="219" w:lineRule="exact"/>
              <w:rPr>
                <w:sz w:val="20"/>
                <w:szCs w:val="20"/>
                <w:color w:val="auto"/>
              </w:rPr>
            </w:pPr>
            <w:r>
              <w:rPr>
                <w:rFonts w:ascii="Times New Roman" w:cs="Times New Roman" w:eastAsia="Times New Roman" w:hAnsi="Times New Roman"/>
                <w:sz w:val="20"/>
                <w:szCs w:val="20"/>
                <w:color w:val="auto"/>
              </w:rPr>
              <w:t>Less:</w:t>
            </w:r>
          </w:p>
        </w:tc>
        <w:tc>
          <w:tcPr>
            <w:tcW w:w="320" w:type="dxa"/>
            <w:vAlign w:val="bottom"/>
            <w:tcBorders>
              <w:bottom w:val="single" w:sz="8" w:color="auto"/>
            </w:tcBorders>
          </w:tcPr>
          <w:p>
            <w:pPr>
              <w:jc w:val="right"/>
              <w:ind w:right="12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108,992</w:t>
            </w:r>
          </w:p>
        </w:tc>
        <w:tc>
          <w:tcPr>
            <w:tcW w:w="240" w:type="dxa"/>
            <w:vAlign w:val="bottom"/>
            <w:tcBorders>
              <w:bottom w:val="single" w:sz="8" w:color="EAEAEA"/>
            </w:tcBorders>
          </w:tcPr>
          <w:p>
            <w:pPr>
              <w:spacing w:after="0"/>
              <w:rPr>
                <w:sz w:val="19"/>
                <w:szCs w:val="19"/>
                <w:color w:val="auto"/>
              </w:rPr>
            </w:pPr>
          </w:p>
        </w:tc>
        <w:tc>
          <w:tcPr>
            <w:tcW w:w="420" w:type="dxa"/>
            <w:vAlign w:val="bottom"/>
            <w:tcBorders>
              <w:bottom w:val="single" w:sz="8" w:color="auto"/>
            </w:tcBorders>
          </w:tcPr>
          <w:p>
            <w:pPr>
              <w:jc w:val="right"/>
              <w:ind w:right="22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91,773</w:t>
            </w:r>
          </w:p>
        </w:tc>
        <w:tc>
          <w:tcPr>
            <w:tcW w:w="80" w:type="dxa"/>
            <w:vAlign w:val="bottom"/>
            <w:tcBorders>
              <w:bottom w:val="single" w:sz="8" w:color="EAEAE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3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Accumulated depreciation and amortization</w:t>
            </w:r>
          </w:p>
        </w:tc>
        <w:tc>
          <w:tcPr>
            <w:tcW w:w="320" w:type="dxa"/>
            <w:vAlign w:val="bottom"/>
            <w:shd w:val="clear" w:color="auto" w:fill="EAEAEA"/>
          </w:tcPr>
          <w:p>
            <w:pPr>
              <w:spacing w:after="0"/>
              <w:rPr>
                <w:sz w:val="20"/>
                <w:szCs w:val="20"/>
                <w:color w:val="auto"/>
              </w:rPr>
            </w:pPr>
          </w:p>
        </w:tc>
        <w:tc>
          <w:tcPr>
            <w:tcW w:w="1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(43,245)</w:t>
            </w:r>
          </w:p>
        </w:tc>
        <w:tc>
          <w:tcPr>
            <w:tcW w:w="240" w:type="dxa"/>
            <w:vAlign w:val="bottom"/>
            <w:shd w:val="clear" w:color="auto" w:fill="EAEAEA"/>
          </w:tcPr>
          <w:p>
            <w:pPr>
              <w:spacing w:after="0"/>
              <w:rPr>
                <w:sz w:val="20"/>
                <w:szCs w:val="20"/>
                <w:color w:val="auto"/>
              </w:rPr>
            </w:pPr>
          </w:p>
        </w:tc>
        <w:tc>
          <w:tcPr>
            <w:tcW w:w="420" w:type="dxa"/>
            <w:vAlign w:val="bottom"/>
            <w:shd w:val="clear" w:color="auto" w:fill="EAEAEA"/>
          </w:tcPr>
          <w:p>
            <w:pPr>
              <w:spacing w:after="0"/>
              <w:rPr>
                <w:sz w:val="20"/>
                <w:szCs w:val="20"/>
                <w:color w:val="auto"/>
              </w:rPr>
            </w:pPr>
          </w:p>
        </w:tc>
        <w:tc>
          <w:tcPr>
            <w:tcW w:w="9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(39,134)</w:t>
            </w:r>
          </w:p>
        </w:tc>
        <w:tc>
          <w:tcPr>
            <w:tcW w:w="8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65,747</w:t>
            </w:r>
          </w:p>
        </w:tc>
        <w:tc>
          <w:tcPr>
            <w:tcW w:w="240" w:type="dxa"/>
            <w:vAlign w:val="bottom"/>
          </w:tcPr>
          <w:p>
            <w:pPr>
              <w:spacing w:after="0"/>
              <w:rPr>
                <w:sz w:val="21"/>
                <w:szCs w:val="21"/>
                <w:color w:val="auto"/>
              </w:rPr>
            </w:pPr>
          </w:p>
        </w:tc>
        <w:tc>
          <w:tcPr>
            <w:tcW w:w="4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52,639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660" w:firstLine="490"/>
        <w:spacing w:after="0" w:line="277" w:lineRule="auto"/>
        <w:rPr>
          <w:sz w:val="20"/>
          <w:szCs w:val="20"/>
          <w:color w:val="auto"/>
        </w:rPr>
      </w:pPr>
      <w:r>
        <w:rPr>
          <w:rFonts w:ascii="Times New Roman" w:cs="Times New Roman" w:eastAsia="Times New Roman" w:hAnsi="Times New Roman"/>
          <w:sz w:val="20"/>
          <w:szCs w:val="20"/>
          <w:color w:val="auto"/>
        </w:rPr>
        <w:t>The construction in progress balance on December 31, 2025 and 2024 is related to new restaurants being developed as of such dates for subsequent openings.</w:t>
      </w:r>
    </w:p>
    <w:p>
      <w:pPr>
        <w:spacing w:after="0" w:line="169" w:lineRule="exact"/>
        <w:rPr>
          <w:sz w:val="20"/>
          <w:szCs w:val="20"/>
          <w:color w:val="auto"/>
        </w:rPr>
      </w:pPr>
    </w:p>
    <w:p>
      <w:pPr>
        <w:ind w:right="540" w:firstLine="490"/>
        <w:spacing w:after="0" w:line="277" w:lineRule="auto"/>
        <w:rPr>
          <w:sz w:val="20"/>
          <w:szCs w:val="20"/>
          <w:color w:val="auto"/>
        </w:rPr>
      </w:pPr>
      <w:r>
        <w:rPr>
          <w:rFonts w:ascii="Times New Roman" w:cs="Times New Roman" w:eastAsia="Times New Roman" w:hAnsi="Times New Roman"/>
          <w:sz w:val="20"/>
          <w:szCs w:val="20"/>
          <w:color w:val="auto"/>
        </w:rPr>
        <w:t>Total depreciation and amortization, including corporate depreciation and amortization for the year ended December 31, 2025 and December 31, 2024 was approximately $9.1 million and $6.9 million, respectively.</w:t>
      </w:r>
    </w:p>
    <w:p>
      <w:pPr>
        <w:spacing w:after="0" w:line="169" w:lineRule="exact"/>
        <w:rPr>
          <w:sz w:val="20"/>
          <w:szCs w:val="20"/>
          <w:color w:val="auto"/>
        </w:rPr>
      </w:pPr>
    </w:p>
    <w:p>
      <w:pPr>
        <w:ind w:right="340" w:firstLine="490"/>
        <w:spacing w:after="0" w:line="249" w:lineRule="auto"/>
        <w:rPr>
          <w:sz w:val="20"/>
          <w:szCs w:val="20"/>
          <w:color w:val="auto"/>
        </w:rPr>
      </w:pPr>
      <w:r>
        <w:rPr>
          <w:rFonts w:ascii="Times New Roman" w:cs="Times New Roman" w:eastAsia="Times New Roman" w:hAnsi="Times New Roman"/>
          <w:sz w:val="20"/>
          <w:szCs w:val="20"/>
          <w:color w:val="auto"/>
        </w:rPr>
        <w:t>During the fourth quarter of 2025, the Company reviewed quantitatively the carrying value of the long-lived assets for the restaurants. The Company observed that the historical performance of this asset group was not recoverable, and therefore determined the fair market value using an discounted cash flow analysis. The long-lived assets were written down to the fair value and therefore the Company recorded an Impairment expense of $5.5 million.</w:t>
      </w:r>
    </w:p>
    <w:p>
      <w:pPr>
        <w:spacing w:after="0" w:line="313" w:lineRule="exact"/>
        <w:rPr>
          <w:sz w:val="20"/>
          <w:szCs w:val="20"/>
          <w:color w:val="auto"/>
        </w:rPr>
      </w:pPr>
    </w:p>
    <w:p>
      <w:pPr>
        <w:ind w:left="480" w:hanging="480"/>
        <w:spacing w:after="0"/>
        <w:tabs>
          <w:tab w:leader="none" w:pos="480" w:val="left"/>
        </w:tabs>
        <w:numPr>
          <w:ilvl w:val="0"/>
          <w:numId w:val="51"/>
        </w:numPr>
        <w:rPr>
          <w:rFonts w:ascii="Times New Roman" w:cs="Times New Roman" w:eastAsia="Times New Roman" w:hAnsi="Times New Roman"/>
          <w:sz w:val="20"/>
          <w:szCs w:val="20"/>
          <w:b w:val="1"/>
          <w:bCs w:val="1"/>
          <w:color w:val="292929"/>
        </w:rPr>
      </w:pPr>
      <w:r>
        <w:rPr>
          <w:rFonts w:ascii="Times New Roman" w:cs="Times New Roman" w:eastAsia="Times New Roman" w:hAnsi="Times New Roman"/>
          <w:sz w:val="20"/>
          <w:szCs w:val="20"/>
          <w:b w:val="1"/>
          <w:bCs w:val="1"/>
          <w:color w:val="292929"/>
        </w:rPr>
        <w:t>Equity Method Investment</w:t>
      </w:r>
    </w:p>
    <w:p>
      <w:pPr>
        <w:spacing w:after="0" w:line="124" w:lineRule="exact"/>
        <w:rPr>
          <w:sz w:val="20"/>
          <w:szCs w:val="20"/>
          <w:color w:val="auto"/>
        </w:rPr>
      </w:pPr>
    </w:p>
    <w:p>
      <w:pPr>
        <w:ind w:right="260" w:firstLine="490"/>
        <w:spacing w:after="0" w:line="252" w:lineRule="auto"/>
        <w:rPr>
          <w:sz w:val="20"/>
          <w:szCs w:val="20"/>
          <w:color w:val="auto"/>
        </w:rPr>
      </w:pPr>
      <w:r>
        <w:rPr>
          <w:rFonts w:ascii="Times New Roman" w:cs="Times New Roman" w:eastAsia="Times New Roman" w:hAnsi="Times New Roman"/>
          <w:sz w:val="20"/>
          <w:szCs w:val="20"/>
          <w:color w:val="292929"/>
        </w:rPr>
        <w:t>On April 1, 2016, GEN Hawaii made an investment of $200 thousand for a 50% interest in GKBH Restaurant LLC (“GKBH”), which operates a GEN restaurant in Hawaii. The Company accounted for the investment as an equity method investment in accordance with ASC 323. The Company acquired the remaining 50% interest in GKBH during the year ended December 31, 2024.</w:t>
      </w:r>
    </w:p>
    <w:p>
      <w:pPr>
        <w:sectPr>
          <w:pgSz w:w="12240" w:h="15840" w:orient="portrait"/>
          <w:cols w:equalWidth="0" w:num="1">
            <w:col w:w="9540"/>
          </w:cols>
          <w:pgMar w:left="1260" w:top="224" w:right="1440" w:bottom="67"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292929"/>
        </w:rPr>
        <w:t>F-18</w:t>
      </w:r>
    </w:p>
    <w:p>
      <w:pPr>
        <w:sectPr>
          <w:pgSz w:w="12240" w:h="15840" w:orient="portrait"/>
          <w:cols w:equalWidth="0" w:num="1">
            <w:col w:w="9540"/>
          </w:cols>
          <w:pgMar w:left="1260" w:top="224" w:right="1440" w:bottom="67" w:gutter="0" w:footer="0" w:header="0"/>
          <w:type w:val="continuous"/>
        </w:sectPr>
      </w:pPr>
    </w:p>
    <w:bookmarkStart w:id="84" w:name="page85"/>
    <w:bookmarkEnd w:id="84"/>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GEN RESTAURANT GROUP, INC.</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Notes to Consolidated Financial Statements</w:t>
      </w: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December 31, 2025 and 2024</w:t>
      </w:r>
    </w:p>
    <w:p>
      <w:pPr>
        <w:spacing w:after="0" w:line="2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92929"/>
        </w:rPr>
        <w:t>A summary of the GKBH results of operations as of December 31, 2024 is as follows (unaudited):</w:t>
      </w:r>
    </w:p>
    <w:p>
      <w:pPr>
        <w:spacing w:after="0" w:line="200" w:lineRule="exact"/>
        <w:rPr>
          <w:sz w:val="20"/>
          <w:szCs w:val="20"/>
          <w:color w:val="auto"/>
        </w:rPr>
      </w:pPr>
    </w:p>
    <w:p>
      <w:pPr>
        <w:spacing w:after="0" w:line="35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100" w:type="dxa"/>
            <w:vAlign w:val="bottom"/>
          </w:tcPr>
          <w:p>
            <w:pPr>
              <w:spacing w:after="0"/>
              <w:rPr>
                <w:sz w:val="17"/>
                <w:szCs w:val="17"/>
                <w:color w:val="auto"/>
              </w:rPr>
            </w:pPr>
          </w:p>
        </w:tc>
        <w:tc>
          <w:tcPr>
            <w:tcW w:w="29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80" w:type="dxa"/>
            <w:vAlign w:val="bottom"/>
          </w:tcPr>
          <w:p>
            <w:pPr>
              <w:spacing w:after="0"/>
              <w:rPr>
                <w:sz w:val="17"/>
                <w:szCs w:val="17"/>
                <w:color w:val="auto"/>
              </w:rPr>
            </w:pPr>
          </w:p>
        </w:tc>
      </w:tr>
      <w:tr>
        <w:trPr>
          <w:trHeight w:val="278"/>
        </w:trPr>
        <w:tc>
          <w:tcPr>
            <w:tcW w:w="510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2960" w:type="dxa"/>
            <w:vAlign w:val="bottom"/>
            <w:tcBorders>
              <w:bottom w:val="single" w:sz="8" w:color="auto"/>
            </w:tcBorders>
          </w:tcPr>
          <w:p>
            <w:pPr>
              <w:jc w:val="right"/>
              <w:ind w:right="122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AEAEA"/>
            </w:tcBorders>
          </w:tcPr>
          <w:p>
            <w:pPr>
              <w:spacing w:after="0"/>
              <w:rPr>
                <w:sz w:val="24"/>
                <w:szCs w:val="24"/>
                <w:color w:val="auto"/>
              </w:rPr>
            </w:pPr>
          </w:p>
        </w:tc>
      </w:tr>
      <w:tr>
        <w:trPr>
          <w:trHeight w:val="278"/>
        </w:trPr>
        <w:tc>
          <w:tcPr>
            <w:tcW w:w="51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Net sales or gross revenue</w:t>
            </w:r>
          </w:p>
        </w:tc>
        <w:tc>
          <w:tcPr>
            <w:tcW w:w="29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1,888</w:t>
            </w:r>
          </w:p>
        </w:tc>
        <w:tc>
          <w:tcPr>
            <w:tcW w:w="80" w:type="dxa"/>
            <w:vAlign w:val="bottom"/>
            <w:shd w:val="clear" w:color="auto" w:fill="EAEAEA"/>
          </w:tcPr>
          <w:p>
            <w:pPr>
              <w:spacing w:after="0"/>
              <w:rPr>
                <w:sz w:val="24"/>
                <w:szCs w:val="24"/>
                <w:color w:val="auto"/>
              </w:rPr>
            </w:pPr>
          </w:p>
        </w:tc>
      </w:tr>
      <w:tr>
        <w:trPr>
          <w:trHeight w:val="283"/>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2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1,263</w:t>
            </w:r>
          </w:p>
        </w:tc>
        <w:tc>
          <w:tcPr>
            <w:tcW w:w="80" w:type="dxa"/>
            <w:vAlign w:val="bottom"/>
          </w:tcPr>
          <w:p>
            <w:pPr>
              <w:spacing w:after="0"/>
              <w:rPr>
                <w:sz w:val="24"/>
                <w:szCs w:val="24"/>
                <w:color w:val="auto"/>
              </w:rPr>
            </w:pPr>
          </w:p>
        </w:tc>
      </w:tr>
      <w:tr>
        <w:trPr>
          <w:trHeight w:val="283"/>
        </w:trPr>
        <w:tc>
          <w:tcPr>
            <w:tcW w:w="51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Net income</w:t>
            </w:r>
          </w:p>
        </w:tc>
        <w:tc>
          <w:tcPr>
            <w:tcW w:w="29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80" w:type="dxa"/>
            <w:vAlign w:val="bottom"/>
            <w:shd w:val="clear" w:color="auto" w:fill="EAEAEA"/>
          </w:tcPr>
          <w:p>
            <w:pPr>
              <w:spacing w:after="0"/>
              <w:rPr>
                <w:sz w:val="24"/>
                <w:szCs w:val="24"/>
                <w:color w:val="auto"/>
              </w:rPr>
            </w:pPr>
          </w:p>
        </w:tc>
      </w:tr>
      <w:tr>
        <w:trPr>
          <w:trHeight w:val="299"/>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Net income attributable to the entity</w:t>
            </w:r>
          </w:p>
        </w:tc>
        <w:tc>
          <w:tcPr>
            <w:tcW w:w="2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80" w:type="dxa"/>
            <w:vAlign w:val="bottom"/>
          </w:tcPr>
          <w:p>
            <w:pPr>
              <w:spacing w:after="0"/>
              <w:rPr>
                <w:sz w:val="24"/>
                <w:szCs w:val="24"/>
                <w:color w:val="auto"/>
              </w:rPr>
            </w:pPr>
          </w:p>
        </w:tc>
      </w:tr>
    </w:tbl>
    <w:p>
      <w:pPr>
        <w:spacing w:after="0" w:line="200" w:lineRule="exact"/>
        <w:rPr>
          <w:sz w:val="20"/>
          <w:szCs w:val="20"/>
          <w:color w:val="auto"/>
        </w:rPr>
      </w:pPr>
    </w:p>
    <w:p>
      <w:pPr>
        <w:spacing w:after="0" w:line="350" w:lineRule="exact"/>
        <w:rPr>
          <w:sz w:val="20"/>
          <w:szCs w:val="20"/>
          <w:color w:val="auto"/>
        </w:rPr>
      </w:pPr>
    </w:p>
    <w:p>
      <w:pPr>
        <w:ind w:left="480" w:hanging="480"/>
        <w:spacing w:after="0"/>
        <w:tabs>
          <w:tab w:leader="none" w:pos="480" w:val="left"/>
        </w:tabs>
        <w:numPr>
          <w:ilvl w:val="0"/>
          <w:numId w:val="52"/>
        </w:numPr>
        <w:rPr>
          <w:rFonts w:ascii="Times New Roman" w:cs="Times New Roman" w:eastAsia="Times New Roman" w:hAnsi="Times New Roman"/>
          <w:sz w:val="20"/>
          <w:szCs w:val="20"/>
          <w:b w:val="1"/>
          <w:bCs w:val="1"/>
          <w:color w:val="292929"/>
        </w:rPr>
      </w:pPr>
      <w:r>
        <w:rPr>
          <w:rFonts w:ascii="Times New Roman" w:cs="Times New Roman" w:eastAsia="Times New Roman" w:hAnsi="Times New Roman"/>
          <w:sz w:val="20"/>
          <w:szCs w:val="20"/>
          <w:b w:val="1"/>
          <w:bCs w:val="1"/>
          <w:color w:val="292929"/>
        </w:rPr>
        <w:t>Gift Cards</w:t>
      </w:r>
    </w:p>
    <w:p>
      <w:pPr>
        <w:spacing w:after="0" w:line="124" w:lineRule="exact"/>
        <w:rPr>
          <w:sz w:val="20"/>
          <w:szCs w:val="20"/>
          <w:color w:val="auto"/>
        </w:rPr>
      </w:pPr>
    </w:p>
    <w:p>
      <w:pPr>
        <w:ind w:right="540" w:firstLine="490"/>
        <w:spacing w:after="0" w:line="258" w:lineRule="auto"/>
        <w:rPr>
          <w:sz w:val="20"/>
          <w:szCs w:val="20"/>
          <w:color w:val="auto"/>
        </w:rPr>
      </w:pPr>
      <w:r>
        <w:rPr>
          <w:rFonts w:ascii="Times New Roman" w:cs="Times New Roman" w:eastAsia="Times New Roman" w:hAnsi="Times New Roman"/>
          <w:sz w:val="20"/>
          <w:szCs w:val="20"/>
          <w:color w:val="auto"/>
        </w:rPr>
        <w:t>Total deferred revenue related to gift cards include the full value of the unredeemed gift card balances less recognized breakage and the unamortized portion of third-party fees. The following tables present information related to gift cards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(in thousands)</w:t>
            </w:r>
          </w:p>
        </w:tc>
        <w:tc>
          <w:tcPr>
            <w:tcW w:w="420" w:type="dxa"/>
            <w:vAlign w:val="bottom"/>
          </w:tcPr>
          <w:p>
            <w:pPr>
              <w:spacing w:after="0"/>
              <w:rPr>
                <w:sz w:val="24"/>
                <w:szCs w:val="24"/>
                <w:color w:val="auto"/>
              </w:rPr>
            </w:pPr>
          </w:p>
        </w:tc>
        <w:tc>
          <w:tcPr>
            <w:tcW w:w="4060" w:type="dxa"/>
            <w:vAlign w:val="bottom"/>
            <w:gridSpan w:val="6"/>
          </w:tcPr>
          <w:p>
            <w:pPr>
              <w:jc w:val="right"/>
              <w:ind w:right="820"/>
              <w:spacing w:after="0"/>
              <w:rPr>
                <w:sz w:val="20"/>
                <w:szCs w:val="20"/>
                <w:color w:val="auto"/>
              </w:rPr>
            </w:pPr>
            <w:r>
              <w:rPr>
                <w:rFonts w:ascii="Times New Roman" w:cs="Times New Roman" w:eastAsia="Times New Roman" w:hAnsi="Times New Roman"/>
                <w:sz w:val="20"/>
                <w:szCs w:val="20"/>
                <w:b w:val="1"/>
                <w:bCs w:val="1"/>
                <w:color w:val="auto"/>
              </w:rPr>
              <w:t>For the Year Ended December 31,</w:t>
            </w:r>
          </w:p>
        </w:tc>
        <w:tc>
          <w:tcPr>
            <w:tcW w:w="0" w:type="dxa"/>
            <w:vAlign w:val="bottom"/>
          </w:tcPr>
          <w:p>
            <w:pPr>
              <w:spacing w:after="0"/>
              <w:rPr>
                <w:sz w:val="1"/>
                <w:szCs w:val="1"/>
                <w:color w:val="auto"/>
              </w:rPr>
            </w:pPr>
          </w:p>
        </w:tc>
      </w:tr>
      <w:tr>
        <w:trPr>
          <w:trHeight w:val="278"/>
        </w:trPr>
        <w:tc>
          <w:tcPr>
            <w:tcW w:w="4880" w:type="dxa"/>
            <w:vAlign w:val="bottom"/>
            <w:tcBorders>
              <w:bottom w:val="single" w:sz="8" w:color="EAEAEA"/>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jc w:val="right"/>
              <w:ind w:right="6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Borders>
              <w:top w:val="single" w:sz="8" w:color="auto"/>
              <w:bottom w:val="single" w:sz="8" w:color="EAEAEA"/>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jc w:val="right"/>
              <w:ind w:right="7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Borders>
              <w:bottom w:val="single" w:sz="8" w:color="EAEAEA"/>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880" w:type="dxa"/>
            <w:vAlign w:val="bottom"/>
            <w:tcBorders>
              <w:bottom w:val="single" w:sz="8" w:color="EAEAEA"/>
            </w:tcBorders>
            <w:shd w:val="clear" w:color="auto" w:fill="EAEAEA"/>
          </w:tcPr>
          <w:p>
            <w:pPr>
              <w:spacing w:after="0"/>
              <w:rPr>
                <w:sz w:val="20"/>
                <w:szCs w:val="20"/>
                <w:color w:val="auto"/>
              </w:rPr>
            </w:pPr>
            <w:r>
              <w:rPr>
                <w:rFonts w:ascii="Times New Roman" w:cs="Times New Roman" w:eastAsia="Times New Roman" w:hAnsi="Times New Roman"/>
                <w:sz w:val="20"/>
                <w:szCs w:val="20"/>
                <w:color w:val="auto"/>
              </w:rPr>
              <w:t>Gift card liabilities:</w:t>
            </w:r>
          </w:p>
        </w:tc>
        <w:tc>
          <w:tcPr>
            <w:tcW w:w="420" w:type="dxa"/>
            <w:vAlign w:val="bottom"/>
            <w:tcBorders>
              <w:bottom w:val="single" w:sz="8" w:color="EAEAEA"/>
            </w:tcBorders>
            <w:shd w:val="clear" w:color="auto" w:fill="EAEAEA"/>
          </w:tcPr>
          <w:p>
            <w:pPr>
              <w:spacing w:after="0"/>
              <w:rPr>
                <w:sz w:val="22"/>
                <w:szCs w:val="22"/>
                <w:color w:val="auto"/>
              </w:rPr>
            </w:pPr>
          </w:p>
        </w:tc>
        <w:tc>
          <w:tcPr>
            <w:tcW w:w="1540" w:type="dxa"/>
            <w:vAlign w:val="bottom"/>
            <w:tcBorders>
              <w:bottom w:val="single" w:sz="8" w:color="EAEAEA"/>
            </w:tcBorders>
            <w:shd w:val="clear" w:color="auto" w:fill="EAEAEA"/>
          </w:tcPr>
          <w:p>
            <w:pPr>
              <w:spacing w:after="0"/>
              <w:rPr>
                <w:sz w:val="22"/>
                <w:szCs w:val="22"/>
                <w:color w:val="auto"/>
              </w:rPr>
            </w:pPr>
          </w:p>
        </w:tc>
        <w:tc>
          <w:tcPr>
            <w:tcW w:w="100" w:type="dxa"/>
            <w:vAlign w:val="bottom"/>
            <w:tcBorders>
              <w:bottom w:val="single" w:sz="8" w:color="EAEAEA"/>
            </w:tcBorders>
            <w:shd w:val="clear" w:color="auto" w:fill="EAEAEA"/>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Borders>
              <w:bottom w:val="single" w:sz="8" w:color="EAEAEA"/>
            </w:tcBorders>
            <w:shd w:val="clear" w:color="auto" w:fill="EAEAEA"/>
          </w:tcPr>
          <w:p>
            <w:pPr>
              <w:spacing w:after="0"/>
              <w:rPr>
                <w:sz w:val="22"/>
                <w:szCs w:val="22"/>
                <w:color w:val="auto"/>
              </w:rPr>
            </w:pPr>
          </w:p>
        </w:tc>
        <w:tc>
          <w:tcPr>
            <w:tcW w:w="1540" w:type="dxa"/>
            <w:vAlign w:val="bottom"/>
            <w:tcBorders>
              <w:bottom w:val="single" w:sz="8" w:color="EAEAEA"/>
            </w:tcBorders>
            <w:shd w:val="clear" w:color="auto" w:fill="EAEAEA"/>
          </w:tcPr>
          <w:p>
            <w:pPr>
              <w:spacing w:after="0"/>
              <w:rPr>
                <w:sz w:val="22"/>
                <w:szCs w:val="22"/>
                <w:color w:val="auto"/>
              </w:rPr>
            </w:pPr>
          </w:p>
        </w:tc>
        <w:tc>
          <w:tcPr>
            <w:tcW w:w="80" w:type="dxa"/>
            <w:vAlign w:val="bottom"/>
            <w:tcBorders>
              <w:bottom w:val="single" w:sz="8" w:color="EAEAEA"/>
            </w:tcBorders>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Beginning Balance</w:t>
            </w: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7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5,983</w:t>
            </w:r>
          </w:p>
        </w:tc>
        <w:tc>
          <w:tcPr>
            <w:tcW w:w="100" w:type="dxa"/>
            <w:vAlign w:val="bottom"/>
          </w:tcPr>
          <w:p>
            <w:pPr>
              <w:spacing w:after="0"/>
              <w:rPr>
                <w:sz w:val="24"/>
                <w:szCs w:val="24"/>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8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Gift Card Activations</w:t>
            </w:r>
          </w:p>
        </w:tc>
        <w:tc>
          <w:tcPr>
            <w:tcW w:w="420" w:type="dxa"/>
            <w:vAlign w:val="bottom"/>
            <w:shd w:val="clear" w:color="auto" w:fill="EAEAEA"/>
          </w:tcPr>
          <w:p>
            <w:pPr>
              <w:spacing w:after="0"/>
              <w:rPr>
                <w:sz w:val="24"/>
                <w:szCs w:val="24"/>
                <w:color w:val="auto"/>
              </w:rPr>
            </w:pPr>
          </w:p>
        </w:tc>
        <w:tc>
          <w:tcPr>
            <w:tcW w:w="15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25,698</w:t>
            </w:r>
          </w:p>
        </w:tc>
        <w:tc>
          <w:tcPr>
            <w:tcW w:w="100" w:type="dxa"/>
            <w:vAlign w:val="bottom"/>
            <w:shd w:val="clear" w:color="auto" w:fill="EAEAEA"/>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shd w:val="clear" w:color="auto" w:fill="EAEAEA"/>
          </w:tcPr>
          <w:p>
            <w:pPr>
              <w:spacing w:after="0"/>
              <w:rPr>
                <w:sz w:val="24"/>
                <w:szCs w:val="24"/>
                <w:color w:val="auto"/>
              </w:rPr>
            </w:pPr>
          </w:p>
        </w:tc>
        <w:tc>
          <w:tcPr>
            <w:tcW w:w="15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9,563</w:t>
            </w:r>
          </w:p>
        </w:tc>
        <w:tc>
          <w:tcPr>
            <w:tcW w:w="80" w:type="dxa"/>
            <w:vAlign w:val="bottom"/>
            <w:shd w:val="clear" w:color="auto" w:fill="EAEAEA"/>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Gift Card Redemptions</w:t>
            </w:r>
          </w:p>
        </w:tc>
        <w:tc>
          <w:tcPr>
            <w:tcW w:w="420" w:type="dxa"/>
            <w:vAlign w:val="bottom"/>
          </w:tcPr>
          <w:p>
            <w:pPr>
              <w:spacing w:after="0"/>
              <w:rPr>
                <w:sz w:val="24"/>
                <w:szCs w:val="24"/>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(14,793)</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(2,964)</w:t>
            </w:r>
          </w:p>
        </w:tc>
        <w:tc>
          <w:tcPr>
            <w:tcW w:w="0" w:type="dxa"/>
            <w:vAlign w:val="bottom"/>
          </w:tcPr>
          <w:p>
            <w:pPr>
              <w:spacing w:after="0"/>
              <w:rPr>
                <w:sz w:val="1"/>
                <w:szCs w:val="1"/>
                <w:color w:val="auto"/>
              </w:rPr>
            </w:pPr>
          </w:p>
        </w:tc>
      </w:tr>
      <w:tr>
        <w:trPr>
          <w:trHeight w:val="283"/>
        </w:trPr>
        <w:tc>
          <w:tcPr>
            <w:tcW w:w="48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Gift Card Breakage</w:t>
            </w:r>
          </w:p>
        </w:tc>
        <w:tc>
          <w:tcPr>
            <w:tcW w:w="420" w:type="dxa"/>
            <w:vAlign w:val="bottom"/>
            <w:shd w:val="clear" w:color="auto" w:fill="EAEAEA"/>
          </w:tcPr>
          <w:p>
            <w:pPr>
              <w:spacing w:after="0"/>
              <w:rPr>
                <w:sz w:val="24"/>
                <w:szCs w:val="24"/>
                <w:color w:val="auto"/>
              </w:rPr>
            </w:pPr>
          </w:p>
        </w:tc>
        <w:tc>
          <w:tcPr>
            <w:tcW w:w="1640" w:type="dxa"/>
            <w:vAlign w:val="bottom"/>
            <w:gridSpan w:val="2"/>
            <w:shd w:val="clear" w:color="auto" w:fill="EAEAEA"/>
          </w:tcPr>
          <w:p>
            <w:pPr>
              <w:jc w:val="right"/>
              <w:ind w:right="40"/>
              <w:spacing w:after="0"/>
              <w:rPr>
                <w:sz w:val="20"/>
                <w:szCs w:val="20"/>
                <w:color w:val="auto"/>
              </w:rPr>
            </w:pPr>
            <w:r>
              <w:rPr>
                <w:rFonts w:ascii="Times New Roman" w:cs="Times New Roman" w:eastAsia="Times New Roman" w:hAnsi="Times New Roman"/>
                <w:sz w:val="20"/>
                <w:szCs w:val="20"/>
                <w:color w:val="auto"/>
              </w:rPr>
              <w:t>(2,219)</w:t>
            </w:r>
          </w:p>
        </w:tc>
        <w:tc>
          <w:tcPr>
            <w:tcW w:w="380" w:type="dxa"/>
            <w:vAlign w:val="bottom"/>
          </w:tcPr>
          <w:p>
            <w:pPr>
              <w:spacing w:after="0"/>
              <w:rPr>
                <w:sz w:val="24"/>
                <w:szCs w:val="24"/>
                <w:color w:val="auto"/>
              </w:rPr>
            </w:pPr>
          </w:p>
        </w:tc>
        <w:tc>
          <w:tcPr>
            <w:tcW w:w="420" w:type="dxa"/>
            <w:vAlign w:val="bottom"/>
            <w:shd w:val="clear" w:color="auto" w:fill="EAEAEA"/>
          </w:tcPr>
          <w:p>
            <w:pPr>
              <w:spacing w:after="0"/>
              <w:rPr>
                <w:sz w:val="24"/>
                <w:szCs w:val="24"/>
                <w:color w:val="auto"/>
              </w:rPr>
            </w:pPr>
          </w:p>
        </w:tc>
        <w:tc>
          <w:tcPr>
            <w:tcW w:w="162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(616)</w:t>
            </w:r>
          </w:p>
        </w:tc>
        <w:tc>
          <w:tcPr>
            <w:tcW w:w="0" w:type="dxa"/>
            <w:vAlign w:val="bottom"/>
          </w:tcPr>
          <w:p>
            <w:pPr>
              <w:spacing w:after="0"/>
              <w:rPr>
                <w:sz w:val="1"/>
                <w:szCs w:val="1"/>
                <w:color w:val="auto"/>
              </w:rPr>
            </w:pPr>
          </w:p>
        </w:tc>
      </w:tr>
      <w:tr>
        <w:trPr>
          <w:trHeight w:val="20"/>
        </w:trPr>
        <w:tc>
          <w:tcPr>
            <w:tcW w:w="4880" w:type="dxa"/>
            <w:vAlign w:val="bottom"/>
            <w:tcBorders>
              <w:top w:val="single" w:sz="8" w:color="EAEAEA"/>
            </w:tcBorders>
            <w:vMerge w:val="restart"/>
          </w:tcPr>
          <w:p>
            <w:pPr>
              <w:spacing w:after="0"/>
              <w:rPr>
                <w:sz w:val="20"/>
                <w:szCs w:val="20"/>
                <w:color w:val="auto"/>
              </w:rPr>
            </w:pPr>
            <w:r>
              <w:rPr>
                <w:rFonts w:ascii="Times New Roman" w:cs="Times New Roman" w:eastAsia="Times New Roman" w:hAnsi="Times New Roman"/>
                <w:sz w:val="20"/>
                <w:szCs w:val="20"/>
                <w:color w:val="auto"/>
              </w:rPr>
              <w:t>Ending Balance</w:t>
            </w: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A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4880" w:type="dxa"/>
            <w:vAlign w:val="bottom"/>
            <w:vMerge w:val="continue"/>
          </w:tcPr>
          <w:p>
            <w:pPr>
              <w:spacing w:after="0"/>
              <w:rPr>
                <w:sz w:val="22"/>
                <w:szCs w:val="22"/>
                <w:color w:val="auto"/>
              </w:rPr>
            </w:pP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7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14,669</w:t>
            </w:r>
          </w:p>
        </w:tc>
        <w:tc>
          <w:tcPr>
            <w:tcW w:w="100" w:type="dxa"/>
            <w:vAlign w:val="bottom"/>
          </w:tcPr>
          <w:p>
            <w:pPr>
              <w:spacing w:after="0"/>
              <w:rPr>
                <w:sz w:val="22"/>
                <w:szCs w:val="22"/>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p>
      <w:pPr>
        <w:ind w:left="480" w:hanging="480"/>
        <w:spacing w:after="0"/>
        <w:tabs>
          <w:tab w:leader="none" w:pos="48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Line of Credit</w:t>
      </w:r>
    </w:p>
    <w:p>
      <w:pPr>
        <w:spacing w:after="0" w:line="124" w:lineRule="exact"/>
        <w:rPr>
          <w:sz w:val="20"/>
          <w:szCs w:val="20"/>
          <w:color w:val="auto"/>
        </w:rPr>
      </w:pPr>
    </w:p>
    <w:p>
      <w:pPr>
        <w:ind w:right="200" w:firstLine="490"/>
        <w:spacing w:after="0" w:line="247" w:lineRule="auto"/>
        <w:rPr>
          <w:sz w:val="20"/>
          <w:szCs w:val="20"/>
          <w:color w:val="auto"/>
        </w:rPr>
      </w:pPr>
      <w:r>
        <w:rPr>
          <w:rFonts w:ascii="Times New Roman" w:cs="Times New Roman" w:eastAsia="Times New Roman" w:hAnsi="Times New Roman"/>
          <w:sz w:val="20"/>
          <w:szCs w:val="20"/>
          <w:color w:val="auto"/>
        </w:rPr>
        <w:t>On February 18, 2024, the Company finalized an agreement with WDI International, Inc. (“WDI”), to acquire the remaining 50% ownership stake in GKBH, along with securing rights for participation in upcoming restaurant ventures in Hawaii, at a valuation of $6.0 million. Subsequently, on the same date, the Company disbursed $3.0 million in cash and committed to a promissory note amounting to $ 3.0 million as per the terms of the agreement. The note was non-interest bearing and was due August 16, 2024, at which time the note was paid in full on August 16, 2024.</w:t>
      </w:r>
    </w:p>
    <w:p>
      <w:pPr>
        <w:spacing w:after="0" w:line="200" w:lineRule="exact"/>
        <w:rPr>
          <w:sz w:val="20"/>
          <w:szCs w:val="20"/>
          <w:color w:val="auto"/>
        </w:rPr>
      </w:pPr>
    </w:p>
    <w:p>
      <w:pPr>
        <w:ind w:right="280" w:firstLine="490"/>
        <w:spacing w:after="0" w:line="252" w:lineRule="auto"/>
        <w:rPr>
          <w:sz w:val="20"/>
          <w:szCs w:val="20"/>
          <w:color w:val="auto"/>
        </w:rPr>
      </w:pPr>
      <w:r>
        <w:rPr>
          <w:rFonts w:ascii="Times New Roman" w:cs="Times New Roman" w:eastAsia="Times New Roman" w:hAnsi="Times New Roman"/>
          <w:sz w:val="20"/>
          <w:szCs w:val="20"/>
          <w:color w:val="auto"/>
        </w:rPr>
        <w:t>On September 29, 2023, the Company entered into a $20 million line of credit with a bank. The line of credit matures on September 25, 2026. The interest at a variable rate per annum was equal to 7.00% and 7.75% as of December 31, 2025 and 2024, respectively. As of December 31, 2025 the balance was $1.0 million, which was subsequently paid in full on January 12, 2026.</w:t>
      </w:r>
    </w:p>
    <w:p>
      <w:pPr>
        <w:spacing w:after="0" w:line="310" w:lineRule="exact"/>
        <w:rPr>
          <w:sz w:val="20"/>
          <w:szCs w:val="20"/>
          <w:color w:val="auto"/>
        </w:rPr>
      </w:pPr>
    </w:p>
    <w:p>
      <w:pPr>
        <w:ind w:left="480" w:hanging="480"/>
        <w:spacing w:after="0"/>
        <w:tabs>
          <w:tab w:leader="none" w:pos="480"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Notes Payable</w:t>
      </w:r>
    </w:p>
    <w:p>
      <w:pPr>
        <w:spacing w:after="0" w:line="120" w:lineRule="exact"/>
        <w:rPr>
          <w:rFonts w:ascii="Times New Roman" w:cs="Times New Roman" w:eastAsia="Times New Roman" w:hAnsi="Times New Roman"/>
          <w:sz w:val="20"/>
          <w:szCs w:val="20"/>
          <w:b w:val="1"/>
          <w:bCs w:val="1"/>
          <w:color w:val="auto"/>
        </w:rPr>
      </w:pPr>
    </w:p>
    <w:p>
      <w:pPr>
        <w:ind w:left="4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Notes Payable to Bank</w:t>
      </w:r>
    </w:p>
    <w:p>
      <w:pPr>
        <w:spacing w:after="0" w:line="244" w:lineRule="exact"/>
        <w:rPr>
          <w:sz w:val="20"/>
          <w:szCs w:val="20"/>
          <w:color w:val="auto"/>
        </w:rPr>
      </w:pPr>
    </w:p>
    <w:p>
      <w:pPr>
        <w:ind w:right="220" w:firstLine="490"/>
        <w:spacing w:after="0" w:line="252" w:lineRule="auto"/>
        <w:rPr>
          <w:sz w:val="20"/>
          <w:szCs w:val="20"/>
          <w:color w:val="auto"/>
        </w:rPr>
      </w:pPr>
      <w:r>
        <w:rPr>
          <w:rFonts w:ascii="Times New Roman" w:cs="Times New Roman" w:eastAsia="Times New Roman" w:hAnsi="Times New Roman"/>
          <w:sz w:val="20"/>
          <w:szCs w:val="20"/>
          <w:color w:val="auto"/>
        </w:rPr>
        <w:t>During the third quarter of 2024, the Company entered into a loan agreement with PCB Bank in the amount of $3.0 million with a maturity date of June 26, 2026, at a variable interest rate which is defined as the Wall Street Journal Prime Rate plus 0.25%, resulting in an interest rate of 7.00% and 7.75% as of December 31, 2025 and 2024, respectively. The balance as of December 31, 2025 and 2024 was $0.7 million and $2.3 million, respectively.</w:t>
      </w:r>
    </w:p>
    <w:p>
      <w:pPr>
        <w:spacing w:after="0" w:line="194" w:lineRule="exact"/>
        <w:rPr>
          <w:sz w:val="20"/>
          <w:szCs w:val="20"/>
          <w:color w:val="auto"/>
        </w:rPr>
      </w:pPr>
    </w:p>
    <w:p>
      <w:pPr>
        <w:ind w:right="300" w:firstLine="490"/>
        <w:spacing w:after="0" w:line="252" w:lineRule="auto"/>
        <w:rPr>
          <w:sz w:val="20"/>
          <w:szCs w:val="20"/>
          <w:color w:val="auto"/>
        </w:rPr>
      </w:pPr>
      <w:r>
        <w:rPr>
          <w:rFonts w:ascii="Times New Roman" w:cs="Times New Roman" w:eastAsia="Times New Roman" w:hAnsi="Times New Roman"/>
          <w:sz w:val="20"/>
          <w:szCs w:val="20"/>
          <w:color w:val="auto"/>
        </w:rPr>
        <w:t>On April 25, 2025, the Company entered into a loan agreement with PCB Bank in the amount of $2.0 million with a maturity date of April 25, 2027 at a variable interest rate which is defined as the Wall Street Journal Prime Rate plus 0.25%, resulting in an interest rate of 7.00% and 7.75% as of December 31, 2025 and 2024, respectively. The balance as of December 31, 2025 was $1.3 million.</w:t>
      </w:r>
    </w:p>
    <w:p>
      <w:pPr>
        <w:sectPr>
          <w:pgSz w:w="12240" w:h="15840" w:orient="portrait"/>
          <w:cols w:equalWidth="0" w:num="1">
            <w:col w:w="9540"/>
          </w:cols>
          <w:pgMar w:left="1260" w:top="224" w:right="1440" w:bottom="67"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292929"/>
        </w:rPr>
        <w:t>F-19</w:t>
      </w:r>
    </w:p>
    <w:p>
      <w:pPr>
        <w:sectPr>
          <w:pgSz w:w="12240" w:h="15840" w:orient="portrait"/>
          <w:cols w:equalWidth="0" w:num="1">
            <w:col w:w="9540"/>
          </w:cols>
          <w:pgMar w:left="1260" w:top="224" w:right="1440" w:bottom="67" w:gutter="0" w:footer="0" w:header="0"/>
          <w:type w:val="continuous"/>
        </w:sectPr>
      </w:pPr>
    </w:p>
    <w:bookmarkStart w:id="85" w:name="page86"/>
    <w:bookmarkEnd w:id="85"/>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GEN RESTAURANT GROUP, INC.</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Notes to Consolidated Financial Statements</w:t>
      </w: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auto"/>
        </w:rPr>
        <w:t>On July 29, 2025, the Company entered into a loan agreement for $4.0 million with PCB Bank. The loan matures on July 29, 2027, and bears interest at a variable rate per annum equal to 0.25% over the Wall Street Journal Prime Rate, which equaled 7.00% as of December 31, 2025. The balance as of December 31, 2025 was $3.2 million.</w:t>
      </w:r>
    </w:p>
    <w:p>
      <w:pPr>
        <w:spacing w:after="0" w:line="194" w:lineRule="exact"/>
        <w:rPr>
          <w:sz w:val="20"/>
          <w:szCs w:val="20"/>
          <w:color w:val="auto"/>
        </w:rPr>
      </w:pPr>
    </w:p>
    <w:p>
      <w:pPr>
        <w:ind w:right="360" w:firstLine="490"/>
        <w:spacing w:after="0" w:line="252" w:lineRule="auto"/>
        <w:rPr>
          <w:sz w:val="20"/>
          <w:szCs w:val="20"/>
          <w:color w:val="auto"/>
        </w:rPr>
      </w:pPr>
      <w:r>
        <w:rPr>
          <w:rFonts w:ascii="Times New Roman" w:cs="Times New Roman" w:eastAsia="Times New Roman" w:hAnsi="Times New Roman"/>
          <w:sz w:val="20"/>
          <w:szCs w:val="20"/>
          <w:color w:val="auto"/>
        </w:rPr>
        <w:t>On October 27, 2025, the Company entered into a loan agreement of $4.0 million with PCB Bank. The loan matures on October 27,2027, and bears interest at a variable rate per annum equal to 0.25% over the Wall Street Journal Prime Rate, which equaled 7.00% at December 31, 2025. The balance as of December 31, 2025 was $4.0 million.</w:t>
      </w:r>
    </w:p>
    <w:p>
      <w:pPr>
        <w:spacing w:after="0" w:line="3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auto"/>
        </w:rPr>
        <w:t>Economic Injury Disaster Loan (EIDL)</w:t>
      </w:r>
    </w:p>
    <w:p>
      <w:pPr>
        <w:spacing w:after="0" w:line="124" w:lineRule="exact"/>
        <w:rPr>
          <w:sz w:val="20"/>
          <w:szCs w:val="20"/>
          <w:color w:val="auto"/>
        </w:rPr>
      </w:pPr>
    </w:p>
    <w:p>
      <w:pPr>
        <w:ind w:right="300" w:firstLine="490"/>
        <w:spacing w:after="0" w:line="252" w:lineRule="auto"/>
        <w:rPr>
          <w:sz w:val="20"/>
          <w:szCs w:val="20"/>
          <w:color w:val="auto"/>
        </w:rPr>
      </w:pPr>
      <w:r>
        <w:rPr>
          <w:rFonts w:ascii="Times New Roman" w:cs="Times New Roman" w:eastAsia="Times New Roman" w:hAnsi="Times New Roman"/>
          <w:sz w:val="20"/>
          <w:szCs w:val="20"/>
          <w:color w:val="auto"/>
        </w:rPr>
        <w:t>On July 1, 2020, the Company executed the standard loan documents for six restaurants required for securing an EIDL loan from the United States Small Business Administration (the “SBA”) under its Economic Injury Disaster Loan assistance program. This assistance was sought in light of the impact of the COVID-19 pandemic on the Company’s business.</w:t>
      </w:r>
    </w:p>
    <w:p>
      <w:pPr>
        <w:spacing w:after="0" w:line="194"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auto"/>
        </w:rPr>
        <w:t>As of December 31, 2025 and December 31, 2024, the total principal amount of the EIDL loans was $4.3 million and $4.4 million, respectively, and the proceeds were used for working capital purposes. Interest on the EIDL loans accrues at 3.75% per annum and installment payments, including principal and interest, are due monthly beginning twelve months from the date of each loan. The balance of principal and interest is payable over thirty years from the date of the promissory note.</w:t>
      </w:r>
    </w:p>
    <w:p>
      <w:pPr>
        <w:spacing w:after="0" w:line="3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auto"/>
        </w:rPr>
        <w:t>Note Payable to Landlord</w:t>
      </w:r>
    </w:p>
    <w:p>
      <w:pPr>
        <w:spacing w:after="0" w:line="124" w:lineRule="exact"/>
        <w:rPr>
          <w:sz w:val="20"/>
          <w:szCs w:val="20"/>
          <w:color w:val="auto"/>
        </w:rPr>
      </w:pPr>
    </w:p>
    <w:p>
      <w:pPr>
        <w:ind w:right="220" w:firstLine="490"/>
        <w:spacing w:after="0" w:line="252" w:lineRule="auto"/>
        <w:rPr>
          <w:sz w:val="20"/>
          <w:szCs w:val="20"/>
          <w:color w:val="auto"/>
        </w:rPr>
      </w:pPr>
      <w:r>
        <w:rPr>
          <w:rFonts w:ascii="Times New Roman" w:cs="Times New Roman" w:eastAsia="Times New Roman" w:hAnsi="Times New Roman"/>
          <w:sz w:val="20"/>
          <w:szCs w:val="20"/>
          <w:color w:val="auto"/>
        </w:rPr>
        <w:t>In August 2017, GEN Fremont entered into a note agreement with a landlord. The Company is making equal monthly payments on this note which has a July 2027 maturity date, with an interest rate of 8.00% per annum. As of December 31, 2025 and December 31, 2024, the loan balance outstanding was $133 thousand and $203 thousand, respectively.</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aggregate maturities of all third party notes payable as of December 31, 2025 are as follows:</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8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(in thousands)</w:t>
            </w:r>
          </w:p>
        </w:tc>
        <w:tc>
          <w:tcPr>
            <w:tcW w:w="500" w:type="dxa"/>
            <w:vAlign w:val="bottom"/>
            <w:shd w:val="clear" w:color="auto" w:fill="EAEAEA"/>
          </w:tcPr>
          <w:p>
            <w:pPr>
              <w:spacing w:after="0"/>
              <w:rPr>
                <w:sz w:val="20"/>
                <w:szCs w:val="20"/>
                <w:color w:val="auto"/>
              </w:rPr>
            </w:pPr>
          </w:p>
        </w:tc>
        <w:tc>
          <w:tcPr>
            <w:tcW w:w="96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r>
      <w:tr>
        <w:trPr>
          <w:trHeight w:val="230"/>
        </w:trPr>
        <w:tc>
          <w:tcPr>
            <w:tcW w:w="6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2026</w:t>
            </w:r>
          </w:p>
        </w:tc>
        <w:tc>
          <w:tcPr>
            <w:tcW w:w="50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2,812</w:t>
            </w:r>
          </w:p>
        </w:tc>
        <w:tc>
          <w:tcPr>
            <w:tcW w:w="100" w:type="dxa"/>
            <w:vAlign w:val="bottom"/>
          </w:tcPr>
          <w:p>
            <w:pPr>
              <w:spacing w:after="0"/>
              <w:rPr>
                <w:sz w:val="20"/>
                <w:szCs w:val="20"/>
                <w:color w:val="auto"/>
              </w:rPr>
            </w:pPr>
          </w:p>
        </w:tc>
      </w:tr>
      <w:tr>
        <w:trPr>
          <w:trHeight w:val="230"/>
        </w:trPr>
        <w:tc>
          <w:tcPr>
            <w:tcW w:w="688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2027</w:t>
            </w:r>
          </w:p>
        </w:tc>
        <w:tc>
          <w:tcPr>
            <w:tcW w:w="500" w:type="dxa"/>
            <w:vAlign w:val="bottom"/>
            <w:shd w:val="clear" w:color="auto" w:fill="EAEAEA"/>
          </w:tcPr>
          <w:p>
            <w:pPr>
              <w:spacing w:after="0"/>
              <w:rPr>
                <w:sz w:val="20"/>
                <w:szCs w:val="20"/>
                <w:color w:val="auto"/>
              </w:rPr>
            </w:pPr>
          </w:p>
        </w:tc>
        <w:tc>
          <w:tcPr>
            <w:tcW w:w="9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6,840</w:t>
            </w:r>
          </w:p>
        </w:tc>
        <w:tc>
          <w:tcPr>
            <w:tcW w:w="100" w:type="dxa"/>
            <w:vAlign w:val="bottom"/>
            <w:shd w:val="clear" w:color="auto" w:fill="EAEAEA"/>
          </w:tcPr>
          <w:p>
            <w:pPr>
              <w:spacing w:after="0"/>
              <w:rPr>
                <w:sz w:val="20"/>
                <w:szCs w:val="20"/>
                <w:color w:val="auto"/>
              </w:rPr>
            </w:pPr>
          </w:p>
        </w:tc>
      </w:tr>
      <w:tr>
        <w:trPr>
          <w:trHeight w:val="230"/>
        </w:trPr>
        <w:tc>
          <w:tcPr>
            <w:tcW w:w="6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2028</w:t>
            </w: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100" w:type="dxa"/>
            <w:vAlign w:val="bottom"/>
          </w:tcPr>
          <w:p>
            <w:pPr>
              <w:spacing w:after="0"/>
              <w:rPr>
                <w:sz w:val="20"/>
                <w:szCs w:val="20"/>
                <w:color w:val="auto"/>
              </w:rPr>
            </w:pPr>
          </w:p>
        </w:tc>
      </w:tr>
      <w:tr>
        <w:trPr>
          <w:trHeight w:val="230"/>
        </w:trPr>
        <w:tc>
          <w:tcPr>
            <w:tcW w:w="688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2029</w:t>
            </w:r>
          </w:p>
        </w:tc>
        <w:tc>
          <w:tcPr>
            <w:tcW w:w="500" w:type="dxa"/>
            <w:vAlign w:val="bottom"/>
            <w:shd w:val="clear" w:color="auto" w:fill="EAEAEA"/>
          </w:tcPr>
          <w:p>
            <w:pPr>
              <w:spacing w:after="0"/>
              <w:rPr>
                <w:sz w:val="20"/>
                <w:szCs w:val="20"/>
                <w:color w:val="auto"/>
              </w:rPr>
            </w:pPr>
          </w:p>
        </w:tc>
        <w:tc>
          <w:tcPr>
            <w:tcW w:w="9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100" w:type="dxa"/>
            <w:vAlign w:val="bottom"/>
            <w:shd w:val="clear" w:color="auto" w:fill="EAEAEA"/>
          </w:tcPr>
          <w:p>
            <w:pPr>
              <w:spacing w:after="0"/>
              <w:rPr>
                <w:sz w:val="20"/>
                <w:szCs w:val="20"/>
                <w:color w:val="auto"/>
              </w:rPr>
            </w:pPr>
          </w:p>
        </w:tc>
      </w:tr>
      <w:tr>
        <w:trPr>
          <w:trHeight w:val="230"/>
        </w:trPr>
        <w:tc>
          <w:tcPr>
            <w:tcW w:w="6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2030</w:t>
            </w: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100" w:type="dxa"/>
            <w:vAlign w:val="bottom"/>
          </w:tcPr>
          <w:p>
            <w:pPr>
              <w:spacing w:after="0"/>
              <w:rPr>
                <w:sz w:val="20"/>
                <w:szCs w:val="20"/>
                <w:color w:val="auto"/>
              </w:rPr>
            </w:pPr>
          </w:p>
        </w:tc>
      </w:tr>
      <w:tr>
        <w:trPr>
          <w:trHeight w:val="230"/>
        </w:trPr>
        <w:tc>
          <w:tcPr>
            <w:tcW w:w="688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Thereafter</w:t>
            </w:r>
          </w:p>
        </w:tc>
        <w:tc>
          <w:tcPr>
            <w:tcW w:w="500" w:type="dxa"/>
            <w:vAlign w:val="bottom"/>
            <w:tcBorders>
              <w:bottom w:val="single" w:sz="8" w:color="auto"/>
            </w:tcBorders>
            <w:shd w:val="clear" w:color="auto" w:fill="EAEAEA"/>
          </w:tcPr>
          <w:p>
            <w:pPr>
              <w:spacing w:after="0"/>
              <w:rPr>
                <w:sz w:val="20"/>
                <w:szCs w:val="20"/>
                <w:color w:val="auto"/>
              </w:rPr>
            </w:pPr>
          </w:p>
        </w:tc>
        <w:tc>
          <w:tcPr>
            <w:tcW w:w="96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3,472</w:t>
            </w:r>
          </w:p>
        </w:tc>
        <w:tc>
          <w:tcPr>
            <w:tcW w:w="100" w:type="dxa"/>
            <w:vAlign w:val="bottom"/>
            <w:shd w:val="clear" w:color="auto" w:fill="EAEAEA"/>
          </w:tcPr>
          <w:p>
            <w:pPr>
              <w:spacing w:after="0"/>
              <w:rPr>
                <w:sz w:val="20"/>
                <w:szCs w:val="20"/>
                <w:color w:val="auto"/>
              </w:rPr>
            </w:pPr>
          </w:p>
        </w:tc>
      </w:tr>
      <w:tr>
        <w:trPr>
          <w:trHeight w:val="225"/>
        </w:trPr>
        <w:tc>
          <w:tcPr>
            <w:tcW w:w="6880" w:type="dxa"/>
            <w:vAlign w:val="bottom"/>
            <w:tcBorders>
              <w:bottom w:val="single" w:sz="8" w:color="EAEAEA"/>
            </w:tcBorders>
          </w:tcPr>
          <w:p>
            <w:pPr>
              <w:spacing w:after="0"/>
              <w:rPr>
                <w:sz w:val="19"/>
                <w:szCs w:val="19"/>
                <w:color w:val="auto"/>
              </w:rPr>
            </w:pPr>
          </w:p>
        </w:tc>
        <w:tc>
          <w:tcPr>
            <w:tcW w:w="500" w:type="dxa"/>
            <w:vAlign w:val="bottom"/>
            <w:tcBorders>
              <w:bottom w:val="single" w:sz="8" w:color="auto"/>
            </w:tcBorders>
          </w:tcPr>
          <w:p>
            <w:pPr>
              <w:jc w:val="right"/>
              <w:ind w:right="30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13,607</w:t>
            </w:r>
          </w:p>
        </w:tc>
        <w:tc>
          <w:tcPr>
            <w:tcW w:w="100" w:type="dxa"/>
            <w:vAlign w:val="bottom"/>
            <w:tcBorders>
              <w:bottom w:val="single" w:sz="8" w:color="EAEAEA"/>
            </w:tcBorders>
          </w:tcPr>
          <w:p>
            <w:pPr>
              <w:spacing w:after="0"/>
              <w:rPr>
                <w:sz w:val="19"/>
                <w:szCs w:val="19"/>
                <w:color w:val="auto"/>
              </w:rPr>
            </w:pPr>
          </w:p>
        </w:tc>
      </w:tr>
      <w:tr>
        <w:trPr>
          <w:trHeight w:val="225"/>
        </w:trPr>
        <w:tc>
          <w:tcPr>
            <w:tcW w:w="6880" w:type="dxa"/>
            <w:vAlign w:val="bottom"/>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Less current portion of notes payable</w:t>
            </w:r>
          </w:p>
        </w:tc>
        <w:tc>
          <w:tcPr>
            <w:tcW w:w="500" w:type="dxa"/>
            <w:vAlign w:val="bottom"/>
            <w:tcBorders>
              <w:bottom w:val="single" w:sz="8" w:color="auto"/>
            </w:tcBorders>
            <w:shd w:val="clear" w:color="auto" w:fill="EAEAEA"/>
          </w:tcPr>
          <w:p>
            <w:pPr>
              <w:spacing w:after="0"/>
              <w:rPr>
                <w:sz w:val="19"/>
                <w:szCs w:val="19"/>
                <w:color w:val="auto"/>
              </w:rPr>
            </w:pPr>
          </w:p>
        </w:tc>
        <w:tc>
          <w:tcPr>
            <w:tcW w:w="960" w:type="dxa"/>
            <w:vAlign w:val="bottom"/>
            <w:tcBorders>
              <w:bottom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(2,812)</w:t>
            </w:r>
          </w:p>
        </w:tc>
        <w:tc>
          <w:tcPr>
            <w:tcW w:w="100" w:type="dxa"/>
            <w:vAlign w:val="bottom"/>
            <w:shd w:val="clear" w:color="auto" w:fill="EAEAEA"/>
          </w:tcPr>
          <w:p>
            <w:pPr>
              <w:spacing w:after="0"/>
              <w:rPr>
                <w:sz w:val="19"/>
                <w:szCs w:val="19"/>
                <w:color w:val="auto"/>
              </w:rPr>
            </w:pPr>
          </w:p>
        </w:tc>
      </w:tr>
      <w:tr>
        <w:trPr>
          <w:trHeight w:val="225"/>
        </w:trPr>
        <w:tc>
          <w:tcPr>
            <w:tcW w:w="688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Long term portion</w:t>
            </w:r>
          </w:p>
        </w:tc>
        <w:tc>
          <w:tcPr>
            <w:tcW w:w="500" w:type="dxa"/>
            <w:vAlign w:val="bottom"/>
            <w:tcBorders>
              <w:bottom w:val="single" w:sz="8" w:color="auto"/>
            </w:tcBorders>
          </w:tcPr>
          <w:p>
            <w:pPr>
              <w:jc w:val="right"/>
              <w:ind w:right="30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10,795</w:t>
            </w:r>
          </w:p>
        </w:tc>
        <w:tc>
          <w:tcPr>
            <w:tcW w:w="100" w:type="dxa"/>
            <w:vAlign w:val="bottom"/>
          </w:tcPr>
          <w:p>
            <w:pPr>
              <w:spacing w:after="0"/>
              <w:rPr>
                <w:sz w:val="19"/>
                <w:szCs w:val="19"/>
                <w:color w:val="auto"/>
              </w:rPr>
            </w:pPr>
          </w:p>
        </w:tc>
      </w:tr>
    </w:tbl>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92929"/>
        </w:rPr>
        <w:t>(10)  Related Party Notes Payable</w:t>
      </w:r>
    </w:p>
    <w:p>
      <w:pPr>
        <w:spacing w:after="0" w:line="244" w:lineRule="exact"/>
        <w:rPr>
          <w:sz w:val="20"/>
          <w:szCs w:val="20"/>
          <w:color w:val="auto"/>
        </w:rPr>
      </w:pPr>
    </w:p>
    <w:p>
      <w:pPr>
        <w:ind w:right="280" w:firstLine="490"/>
        <w:spacing w:after="0" w:line="258" w:lineRule="auto"/>
        <w:rPr>
          <w:sz w:val="20"/>
          <w:szCs w:val="20"/>
          <w:color w:val="auto"/>
        </w:rPr>
      </w:pPr>
      <w:r>
        <w:rPr>
          <w:rFonts w:ascii="Times New Roman" w:cs="Times New Roman" w:eastAsia="Times New Roman" w:hAnsi="Times New Roman"/>
          <w:sz w:val="20"/>
          <w:szCs w:val="20"/>
          <w:color w:val="auto"/>
        </w:rPr>
        <w:t>During 2022, the member owners loaned $1.9 million, with an interest rate of 3.00% per year and matured on November 25, 2024, to the Company. During 2023 and 2024, the Company satisfied this loan and as of December 31, 2025, the loan balance outstanding was $0.</w:t>
      </w:r>
    </w:p>
    <w:p>
      <w:pPr>
        <w:spacing w:after="0" w:line="188" w:lineRule="exact"/>
        <w:rPr>
          <w:sz w:val="20"/>
          <w:szCs w:val="20"/>
          <w:color w:val="auto"/>
        </w:rPr>
      </w:pPr>
    </w:p>
    <w:p>
      <w:pPr>
        <w:ind w:right="540" w:firstLine="490"/>
        <w:spacing w:after="0" w:line="258" w:lineRule="auto"/>
        <w:rPr>
          <w:sz w:val="20"/>
          <w:szCs w:val="20"/>
          <w:color w:val="auto"/>
        </w:rPr>
      </w:pPr>
      <w:r>
        <w:rPr>
          <w:rFonts w:ascii="Times New Roman" w:cs="Times New Roman" w:eastAsia="Times New Roman" w:hAnsi="Times New Roman"/>
          <w:sz w:val="20"/>
          <w:szCs w:val="20"/>
          <w:color w:val="auto"/>
        </w:rPr>
        <w:t>During March 2023, a member owner loaned $500 thousand to the Company of which $150 thousand was repaid prior to the IPO and as part of the IPO, the remaining loan balance was repaid in full and immediately contributed to owners’ equity.</w:t>
      </w:r>
    </w:p>
    <w:p>
      <w:pPr>
        <w:sectPr>
          <w:pgSz w:w="12240" w:h="15840" w:orient="portrait"/>
          <w:cols w:equalWidth="0" w:num="1">
            <w:col w:w="9540"/>
          </w:cols>
          <w:pgMar w:left="1260" w:top="224" w:right="1440" w:bottom="6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292929"/>
        </w:rPr>
        <w:t>F-20</w:t>
      </w:r>
    </w:p>
    <w:p>
      <w:pPr>
        <w:sectPr>
          <w:pgSz w:w="12240" w:h="15840" w:orient="portrait"/>
          <w:cols w:equalWidth="0" w:num="1">
            <w:col w:w="9540"/>
          </w:cols>
          <w:pgMar w:left="1260" w:top="224" w:right="1440" w:bottom="67" w:gutter="0" w:footer="0" w:header="0"/>
          <w:type w:val="continuous"/>
        </w:sectPr>
      </w:pPr>
    </w:p>
    <w:bookmarkStart w:id="86" w:name="page87"/>
    <w:bookmarkEnd w:id="86"/>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GEN RESTAURANT GROUP, INC.</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Notes to Consolidated Financial Statements</w:t>
      </w: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December 31, 2025 and 2024</w:t>
      </w:r>
    </w:p>
    <w:p>
      <w:pPr>
        <w:spacing w:after="0" w:line="295" w:lineRule="exact"/>
        <w:rPr>
          <w:sz w:val="20"/>
          <w:szCs w:val="20"/>
          <w:color w:val="auto"/>
        </w:rPr>
      </w:pPr>
    </w:p>
    <w:p>
      <w:pPr>
        <w:ind w:right="560" w:firstLine="490"/>
        <w:spacing w:after="0" w:line="277" w:lineRule="auto"/>
        <w:rPr>
          <w:sz w:val="20"/>
          <w:szCs w:val="20"/>
          <w:color w:val="auto"/>
        </w:rPr>
      </w:pPr>
      <w:r>
        <w:rPr>
          <w:rFonts w:ascii="Times New Roman" w:cs="Times New Roman" w:eastAsia="Times New Roman" w:hAnsi="Times New Roman"/>
          <w:sz w:val="20"/>
          <w:szCs w:val="20"/>
          <w:color w:val="auto"/>
        </w:rPr>
        <w:t>Interest expense incurred for the related party debt was $14 thousand and $16 thousand for the year ended December 31, 2025 and December 31, 2024, respectively.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Leases</w:t>
      </w:r>
    </w:p>
    <w:p>
      <w:pPr>
        <w:spacing w:after="0" w:line="124" w:lineRule="exact"/>
        <w:rPr>
          <w:sz w:val="20"/>
          <w:szCs w:val="20"/>
          <w:color w:val="auto"/>
        </w:rPr>
      </w:pPr>
    </w:p>
    <w:p>
      <w:pPr>
        <w:ind w:right="220" w:firstLine="490"/>
        <w:spacing w:after="0" w:line="244" w:lineRule="auto"/>
        <w:rPr>
          <w:sz w:val="20"/>
          <w:szCs w:val="20"/>
          <w:color w:val="auto"/>
        </w:rPr>
      </w:pPr>
      <w:r>
        <w:rPr>
          <w:rFonts w:ascii="Times New Roman" w:cs="Times New Roman" w:eastAsia="Times New Roman" w:hAnsi="Times New Roman"/>
          <w:sz w:val="20"/>
          <w:szCs w:val="20"/>
          <w:color w:val="auto"/>
        </w:rPr>
        <w:t>At inception of a contract, the Company assesses whether a contract is a lease based on whether the contract conveys the right to control the use of an identified asset for a period of time in exchange for consideration. Lease classification, measurement, and recognition are determined at lease commencement, which is the date the underlying asset is available for use by the Company. The accounting classification of a lease is based on whether the arrangement is effectively a financed purchase of the underlying asset (finance lease) or not (operating lease). The Company has operating and finance leases for its corporate office, restaurant locations, office equipment and kitchen equipment. Our leases have remaining lease terms of less than one year to up to 25 years, including options to extend many of the leases. For leases with renewal periods at the Company’s option, the Company determines the expected lease period based on whether the renewal of any options are reasonably assured at the inception of the lease.</w:t>
      </w:r>
    </w:p>
    <w:p>
      <w:pPr>
        <w:spacing w:after="0" w:line="202" w:lineRule="exact"/>
        <w:rPr>
          <w:sz w:val="20"/>
          <w:szCs w:val="20"/>
          <w:color w:val="auto"/>
        </w:rPr>
      </w:pPr>
    </w:p>
    <w:p>
      <w:pPr>
        <w:ind w:right="300" w:firstLine="490"/>
        <w:spacing w:after="0" w:line="252" w:lineRule="auto"/>
        <w:rPr>
          <w:sz w:val="20"/>
          <w:szCs w:val="20"/>
          <w:color w:val="auto"/>
        </w:rPr>
      </w:pPr>
      <w:r>
        <w:rPr>
          <w:rFonts w:ascii="Times New Roman" w:cs="Times New Roman" w:eastAsia="Times New Roman" w:hAnsi="Times New Roman"/>
          <w:sz w:val="20"/>
          <w:szCs w:val="20"/>
          <w:color w:val="auto"/>
        </w:rPr>
        <w:t>Operating leases are accounted for on the balance sheet with the lease assets and liabilities recognized in “Operating lease assets”, “Operating lease liabilities, current” and “Operating lease liabilities, net of current portion”. Finance lease liabilities are recognized on the balance sheet in “Obligations under finance leases, current” and “Obligations under finance leases, net of current portion”.</w:t>
      </w:r>
    </w:p>
    <w:p>
      <w:pPr>
        <w:spacing w:after="0" w:line="194" w:lineRule="exact"/>
        <w:rPr>
          <w:sz w:val="20"/>
          <w:szCs w:val="20"/>
          <w:color w:val="auto"/>
        </w:rPr>
      </w:pPr>
    </w:p>
    <w:p>
      <w:pPr>
        <w:ind w:right="360" w:firstLine="490"/>
        <w:spacing w:after="0" w:line="245" w:lineRule="auto"/>
        <w:rPr>
          <w:sz w:val="20"/>
          <w:szCs w:val="20"/>
          <w:color w:val="auto"/>
        </w:rPr>
      </w:pPr>
      <w:r>
        <w:rPr>
          <w:rFonts w:ascii="Times New Roman" w:cs="Times New Roman" w:eastAsia="Times New Roman" w:hAnsi="Times New Roman"/>
          <w:sz w:val="20"/>
          <w:szCs w:val="20"/>
          <w:color w:val="auto"/>
        </w:rPr>
        <w:t>Lease assets and liabilities are recognized at the lease commencement date. All lease liabilities are measured at the present value of the lease payments not yet paid. To determine the present value of lease payments not yet paid, we estimate incremental borrowing rates corresponding to the maturities of the leases. We estimate this rate based on prevailing financial market conditions, comparable company and credit analysis, and management judgment. Operating lease assets are initially measured based on the lease liability, adjusted for initial direct costs, prepaid or deferred rent, and lease incentives. The operating lease liabilities are subsequently measured at the carrying amount of the lease liability adjusted for initial direct costs, prepaid or accrued lease payments, and lease incentives.</w:t>
      </w:r>
    </w:p>
    <w:p>
      <w:pPr>
        <w:spacing w:after="0" w:line="202" w:lineRule="exact"/>
        <w:rPr>
          <w:sz w:val="20"/>
          <w:szCs w:val="20"/>
          <w:color w:val="auto"/>
        </w:rPr>
      </w:pPr>
    </w:p>
    <w:p>
      <w:pPr>
        <w:ind w:right="220" w:firstLine="490"/>
        <w:spacing w:after="0" w:line="277" w:lineRule="auto"/>
        <w:rPr>
          <w:sz w:val="20"/>
          <w:szCs w:val="20"/>
          <w:color w:val="auto"/>
        </w:rPr>
      </w:pPr>
      <w:r>
        <w:rPr>
          <w:rFonts w:ascii="Times New Roman" w:cs="Times New Roman" w:eastAsia="Times New Roman" w:hAnsi="Times New Roman"/>
          <w:sz w:val="20"/>
          <w:szCs w:val="20"/>
          <w:color w:val="auto"/>
        </w:rPr>
        <w:t>The following table summarizes the operating and finance lease activities to the income statement and balance sheet for the year ended December 31, 2025 and 2024: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5"/>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17"/>
                <w:szCs w:val="17"/>
                <w:color w:val="auto"/>
              </w:rPr>
            </w:pPr>
          </w:p>
        </w:tc>
      </w:tr>
      <w:tr>
        <w:trPr>
          <w:trHeight w:val="193"/>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Operating lease cost</w:t>
            </w:r>
          </w:p>
        </w:tc>
        <w:tc>
          <w:tcPr>
            <w:tcW w:w="140" w:type="dxa"/>
            <w:vAlign w:val="bottom"/>
            <w:tcBorders>
              <w:bottom w:val="single" w:sz="8" w:color="EAEAEA"/>
            </w:tcBorders>
          </w:tcPr>
          <w:p>
            <w:pPr>
              <w:spacing w:after="0"/>
              <w:rPr>
                <w:sz w:val="16"/>
                <w:szCs w:val="16"/>
                <w:color w:val="auto"/>
              </w:rPr>
            </w:pP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EAEAEA"/>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EAEAEA"/>
            </w:tcBorders>
          </w:tcPr>
          <w:p>
            <w:pPr>
              <w:spacing w:after="0"/>
              <w:rPr>
                <w:sz w:val="16"/>
                <w:szCs w:val="16"/>
                <w:color w:val="auto"/>
              </w:rPr>
            </w:pPr>
          </w:p>
        </w:tc>
      </w:tr>
      <w:tr>
        <w:trPr>
          <w:trHeight w:val="219"/>
        </w:trPr>
        <w:tc>
          <w:tcPr>
            <w:tcW w:w="1880" w:type="dxa"/>
            <w:vAlign w:val="bottom"/>
            <w:shd w:val="clear" w:color="auto" w:fill="EAEAEA"/>
          </w:tcPr>
          <w:p>
            <w:pPr>
              <w:ind w:left="200"/>
              <w:spacing w:after="0" w:line="220" w:lineRule="exact"/>
              <w:rPr>
                <w:sz w:val="20"/>
                <w:szCs w:val="20"/>
                <w:color w:val="auto"/>
              </w:rPr>
            </w:pPr>
            <w:r>
              <w:rPr>
                <w:rFonts w:ascii="Times New Roman" w:cs="Times New Roman" w:eastAsia="Times New Roman" w:hAnsi="Times New Roman"/>
                <w:sz w:val="20"/>
                <w:szCs w:val="20"/>
                <w:color w:val="auto"/>
              </w:rPr>
              <w:t>Operating lease cost</w:t>
            </w:r>
          </w:p>
        </w:tc>
        <w:tc>
          <w:tcPr>
            <w:tcW w:w="140" w:type="dxa"/>
            <w:vAlign w:val="bottom"/>
            <w:shd w:val="clear" w:color="auto" w:fill="EAEAEA"/>
          </w:tcPr>
          <w:p>
            <w:pPr>
              <w:spacing w:after="0"/>
              <w:rPr>
                <w:sz w:val="19"/>
                <w:szCs w:val="19"/>
                <w:color w:val="auto"/>
              </w:rPr>
            </w:pPr>
          </w:p>
        </w:tc>
        <w:tc>
          <w:tcPr>
            <w:tcW w:w="4560" w:type="dxa"/>
            <w:vAlign w:val="bottom"/>
            <w:shd w:val="clear" w:color="auto" w:fill="EAEAEA"/>
          </w:tcPr>
          <w:p>
            <w:pPr>
              <w:spacing w:after="0" w:line="220" w:lineRule="exact"/>
              <w:rPr>
                <w:sz w:val="20"/>
                <w:szCs w:val="20"/>
                <w:color w:val="auto"/>
              </w:rPr>
            </w:pPr>
            <w:r>
              <w:rPr>
                <w:rFonts w:ascii="Times New Roman" w:cs="Times New Roman" w:eastAsia="Times New Roman" w:hAnsi="Times New Roman"/>
                <w:sz w:val="20"/>
                <w:szCs w:val="20"/>
                <w:color w:val="auto"/>
              </w:rPr>
              <w:t>Occupancy and related expenses, and General and</w:t>
            </w:r>
          </w:p>
        </w:tc>
        <w:tc>
          <w:tcPr>
            <w:tcW w:w="14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88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shd w:val="clear" w:color="auto" w:fill="EAEAEA"/>
          </w:tcPr>
          <w:p>
            <w:pPr>
              <w:spacing w:after="0"/>
              <w:rPr>
                <w:sz w:val="19"/>
                <w:szCs w:val="19"/>
                <w:color w:val="auto"/>
              </w:rPr>
            </w:pPr>
          </w:p>
        </w:tc>
        <w:tc>
          <w:tcPr>
            <w:tcW w:w="96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r>
      <w:tr>
        <w:trPr>
          <w:trHeight w:val="250"/>
        </w:trPr>
        <w:tc>
          <w:tcPr>
            <w:tcW w:w="188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456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administrative expenses</w:t>
            </w:r>
          </w:p>
        </w:tc>
        <w:tc>
          <w:tcPr>
            <w:tcW w:w="380" w:type="dxa"/>
            <w:vAlign w:val="bottom"/>
            <w:gridSpan w:val="2"/>
            <w:shd w:val="clear" w:color="auto" w:fill="EAEAEA"/>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14,563</w:t>
            </w:r>
          </w:p>
        </w:tc>
        <w:tc>
          <w:tcPr>
            <w:tcW w:w="100" w:type="dxa"/>
            <w:vAlign w:val="bottom"/>
            <w:shd w:val="clear" w:color="auto" w:fill="EAEAEA"/>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shd w:val="clear" w:color="auto" w:fill="EAEAEA"/>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11,937</w:t>
            </w:r>
          </w:p>
        </w:tc>
        <w:tc>
          <w:tcPr>
            <w:tcW w:w="60" w:type="dxa"/>
            <w:vAlign w:val="bottom"/>
            <w:shd w:val="clear" w:color="auto" w:fill="EAEAEA"/>
          </w:tcPr>
          <w:p>
            <w:pPr>
              <w:spacing w:after="0"/>
              <w:rPr>
                <w:sz w:val="21"/>
                <w:szCs w:val="21"/>
                <w:color w:val="auto"/>
              </w:rPr>
            </w:pPr>
          </w:p>
        </w:tc>
      </w:tr>
      <w:tr>
        <w:trPr>
          <w:trHeight w:val="225"/>
        </w:trPr>
        <w:tc>
          <w:tcPr>
            <w:tcW w:w="188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auto"/>
              </w:rPr>
              <w:t>Variable lease cost</w:t>
            </w:r>
          </w:p>
        </w:tc>
        <w:tc>
          <w:tcPr>
            <w:tcW w:w="140" w:type="dxa"/>
            <w:vAlign w:val="bottom"/>
          </w:tcPr>
          <w:p>
            <w:pPr>
              <w:spacing w:after="0"/>
              <w:rPr>
                <w:sz w:val="19"/>
                <w:szCs w:val="19"/>
                <w:color w:val="auto"/>
              </w:rPr>
            </w:pPr>
          </w:p>
        </w:tc>
        <w:tc>
          <w:tcPr>
            <w:tcW w:w="45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Occupancy and related expenses, and General and</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9"/>
        </w:trPr>
        <w:tc>
          <w:tcPr>
            <w:tcW w:w="1880" w:type="dxa"/>
            <w:vAlign w:val="bottom"/>
            <w:tcBorders>
              <w:bottom w:val="single" w:sz="8" w:color="EAEAEA"/>
            </w:tcBorders>
          </w:tcPr>
          <w:p>
            <w:pPr>
              <w:spacing w:after="0"/>
              <w:rPr>
                <w:sz w:val="21"/>
                <w:szCs w:val="21"/>
                <w:color w:val="auto"/>
              </w:rPr>
            </w:pPr>
          </w:p>
        </w:tc>
        <w:tc>
          <w:tcPr>
            <w:tcW w:w="140" w:type="dxa"/>
            <w:vAlign w:val="bottom"/>
            <w:tcBorders>
              <w:bottom w:val="single" w:sz="8" w:color="EAEAEA"/>
            </w:tcBorders>
          </w:tcPr>
          <w:p>
            <w:pPr>
              <w:spacing w:after="0"/>
              <w:rPr>
                <w:sz w:val="21"/>
                <w:szCs w:val="21"/>
                <w:color w:val="auto"/>
              </w:rPr>
            </w:pPr>
          </w:p>
        </w:tc>
        <w:tc>
          <w:tcPr>
            <w:tcW w:w="456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20"/>
                <w:szCs w:val="20"/>
                <w:color w:val="auto"/>
              </w:rPr>
              <w:t>administrative expenses</w:t>
            </w: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7,096</w:t>
            </w:r>
          </w:p>
        </w:tc>
        <w:tc>
          <w:tcPr>
            <w:tcW w:w="100" w:type="dxa"/>
            <w:vAlign w:val="bottom"/>
            <w:tcBorders>
              <w:bottom w:val="single" w:sz="8" w:color="EAEAEA"/>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5,913</w:t>
            </w:r>
          </w:p>
        </w:tc>
        <w:tc>
          <w:tcPr>
            <w:tcW w:w="60" w:type="dxa"/>
            <w:vAlign w:val="bottom"/>
            <w:tcBorders>
              <w:bottom w:val="single" w:sz="8" w:color="EAEAEA"/>
            </w:tcBorders>
          </w:tcPr>
          <w:p>
            <w:pPr>
              <w:spacing w:after="0"/>
              <w:rPr>
                <w:sz w:val="21"/>
                <w:szCs w:val="21"/>
                <w:color w:val="auto"/>
              </w:rPr>
            </w:pPr>
          </w:p>
        </w:tc>
      </w:tr>
      <w:tr>
        <w:trPr>
          <w:trHeight w:val="220"/>
        </w:trPr>
        <w:tc>
          <w:tcPr>
            <w:tcW w:w="1880" w:type="dxa"/>
            <w:vAlign w:val="bottom"/>
            <w:shd w:val="clear" w:color="auto" w:fill="EAEAEA"/>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operating</w:t>
            </w:r>
          </w:p>
        </w:tc>
        <w:tc>
          <w:tcPr>
            <w:tcW w:w="140" w:type="dxa"/>
            <w:vAlign w:val="bottom"/>
            <w:shd w:val="clear" w:color="auto" w:fill="EAEAEA"/>
          </w:tcPr>
          <w:p>
            <w:pPr>
              <w:spacing w:after="0"/>
              <w:rPr>
                <w:sz w:val="19"/>
                <w:szCs w:val="19"/>
                <w:color w:val="auto"/>
              </w:rPr>
            </w:pPr>
          </w:p>
        </w:tc>
        <w:tc>
          <w:tcPr>
            <w:tcW w:w="456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88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shd w:val="clear" w:color="auto" w:fill="EAEAEA"/>
          </w:tcPr>
          <w:p>
            <w:pPr>
              <w:spacing w:after="0"/>
              <w:rPr>
                <w:sz w:val="19"/>
                <w:szCs w:val="19"/>
                <w:color w:val="auto"/>
              </w:rPr>
            </w:pPr>
          </w:p>
        </w:tc>
        <w:tc>
          <w:tcPr>
            <w:tcW w:w="96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r>
      <w:tr>
        <w:trPr>
          <w:trHeight w:val="250"/>
        </w:trPr>
        <w:tc>
          <w:tcPr>
            <w:tcW w:w="188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lease cost</w:t>
            </w:r>
          </w:p>
        </w:tc>
        <w:tc>
          <w:tcPr>
            <w:tcW w:w="140" w:type="dxa"/>
            <w:vAlign w:val="bottom"/>
            <w:shd w:val="clear" w:color="auto" w:fill="EAEAEA"/>
          </w:tcPr>
          <w:p>
            <w:pPr>
              <w:spacing w:after="0"/>
              <w:rPr>
                <w:sz w:val="21"/>
                <w:szCs w:val="21"/>
                <w:color w:val="auto"/>
              </w:rPr>
            </w:pPr>
          </w:p>
        </w:tc>
        <w:tc>
          <w:tcPr>
            <w:tcW w:w="4560" w:type="dxa"/>
            <w:vAlign w:val="bottom"/>
            <w:shd w:val="clear" w:color="auto" w:fill="EAEAEA"/>
          </w:tcPr>
          <w:p>
            <w:pPr>
              <w:spacing w:after="0"/>
              <w:rPr>
                <w:sz w:val="21"/>
                <w:szCs w:val="21"/>
                <w:color w:val="auto"/>
              </w:rPr>
            </w:pPr>
          </w:p>
        </w:tc>
        <w:tc>
          <w:tcPr>
            <w:tcW w:w="380" w:type="dxa"/>
            <w:vAlign w:val="bottom"/>
            <w:gridSpan w:val="2"/>
            <w:shd w:val="clear" w:color="auto" w:fill="EAEAEA"/>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21,659</w:t>
            </w:r>
          </w:p>
        </w:tc>
        <w:tc>
          <w:tcPr>
            <w:tcW w:w="100" w:type="dxa"/>
            <w:vAlign w:val="bottom"/>
            <w:shd w:val="clear" w:color="auto" w:fill="EAEAEA"/>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shd w:val="clear" w:color="auto" w:fill="EAEAEA"/>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17,850</w:t>
            </w:r>
          </w:p>
        </w:tc>
        <w:tc>
          <w:tcPr>
            <w:tcW w:w="60" w:type="dxa"/>
            <w:vAlign w:val="bottom"/>
            <w:shd w:val="clear" w:color="auto" w:fill="EAEAEA"/>
          </w:tcPr>
          <w:p>
            <w:pPr>
              <w:spacing w:after="0"/>
              <w:rPr>
                <w:sz w:val="21"/>
                <w:szCs w:val="2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Supplemental balance sheet information related to leases: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Operating leases </w:t>
            </w:r>
            <w:r>
              <w:rPr>
                <w:rFonts w:ascii="Times New Roman" w:cs="Times New Roman" w:eastAsia="Times New Roman" w:hAnsi="Times New Roman"/>
                <w:sz w:val="16"/>
                <w:szCs w:val="16"/>
                <w:b w:val="1"/>
                <w:bCs w:val="1"/>
                <w:color w:val="auto"/>
              </w:rPr>
              <w:t>(in thousands)</w:t>
            </w:r>
          </w:p>
        </w:tc>
        <w:tc>
          <w:tcPr>
            <w:tcW w:w="1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r>
      <w:tr>
        <w:trPr>
          <w:trHeight w:val="230"/>
        </w:trPr>
        <w:tc>
          <w:tcPr>
            <w:tcW w:w="446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Operating lease assets</w:t>
            </w:r>
          </w:p>
        </w:tc>
        <w:tc>
          <w:tcPr>
            <w:tcW w:w="2280" w:type="dxa"/>
            <w:vAlign w:val="bottom"/>
            <w:gridSpan w:val="4"/>
            <w:shd w:val="clear" w:color="auto" w:fill="EAEAEA"/>
          </w:tcPr>
          <w:p>
            <w:pPr>
              <w:jc w:val="right"/>
              <w:ind w:right="218"/>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146,473</w:t>
            </w:r>
          </w:p>
        </w:tc>
        <w:tc>
          <w:tcPr>
            <w:tcW w:w="120" w:type="dxa"/>
            <w:vAlign w:val="bottom"/>
            <w:shd w:val="clear" w:color="auto" w:fill="EAEAEA"/>
          </w:tcPr>
          <w:p>
            <w:pPr>
              <w:spacing w:after="0"/>
              <w:rPr>
                <w:sz w:val="20"/>
                <w:szCs w:val="20"/>
                <w:color w:val="auto"/>
              </w:rPr>
            </w:pPr>
          </w:p>
        </w:tc>
        <w:tc>
          <w:tcPr>
            <w:tcW w:w="520" w:type="dxa"/>
            <w:vAlign w:val="bottom"/>
            <w:gridSpan w:val="3"/>
            <w:shd w:val="clear" w:color="auto" w:fill="EAEAEA"/>
          </w:tcPr>
          <w:p>
            <w:pPr>
              <w:jc w:val="right"/>
              <w:ind w:right="218"/>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3"/>
            <w:shd w:val="clear" w:color="auto" w:fill="EAEAEA"/>
          </w:tcPr>
          <w:p>
            <w:pPr>
              <w:jc w:val="right"/>
              <w:ind w:right="60"/>
              <w:spacing w:after="0"/>
              <w:rPr>
                <w:sz w:val="20"/>
                <w:szCs w:val="20"/>
                <w:color w:val="auto"/>
              </w:rPr>
            </w:pPr>
            <w:r>
              <w:rPr>
                <w:rFonts w:ascii="Times New Roman" w:cs="Times New Roman" w:eastAsia="Times New Roman" w:hAnsi="Times New Roman"/>
                <w:sz w:val="20"/>
                <w:szCs w:val="20"/>
                <w:color w:val="auto"/>
              </w:rPr>
              <w:t>131,542</w:t>
            </w:r>
          </w:p>
        </w:tc>
      </w:tr>
      <w:tr>
        <w:trPr>
          <w:trHeight w:val="225"/>
        </w:trPr>
        <w:tc>
          <w:tcPr>
            <w:tcW w:w="44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Operating lease liabilities, current</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6,707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5,221</w:t>
            </w:r>
          </w:p>
        </w:tc>
        <w:tc>
          <w:tcPr>
            <w:tcW w:w="60" w:type="dxa"/>
            <w:vAlign w:val="bottom"/>
          </w:tcPr>
          <w:p>
            <w:pPr>
              <w:spacing w:after="0"/>
              <w:rPr>
                <w:sz w:val="19"/>
                <w:szCs w:val="19"/>
                <w:color w:val="auto"/>
              </w:rPr>
            </w:pPr>
          </w:p>
        </w:tc>
      </w:tr>
      <w:tr>
        <w:trPr>
          <w:trHeight w:val="230"/>
        </w:trPr>
        <w:tc>
          <w:tcPr>
            <w:tcW w:w="446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Operating lease liabilities, net of current portion</w:t>
            </w:r>
          </w:p>
        </w:tc>
        <w:tc>
          <w:tcPr>
            <w:tcW w:w="1680" w:type="dxa"/>
            <w:vAlign w:val="bottom"/>
            <w:shd w:val="clear" w:color="auto" w:fill="EAEAEA"/>
          </w:tcPr>
          <w:p>
            <w:pPr>
              <w:spacing w:after="0"/>
              <w:rPr>
                <w:sz w:val="20"/>
                <w:szCs w:val="20"/>
                <w:color w:val="auto"/>
              </w:rPr>
            </w:pPr>
          </w:p>
        </w:tc>
        <w:tc>
          <w:tcPr>
            <w:tcW w:w="20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380" w:type="dxa"/>
            <w:vAlign w:val="bottom"/>
            <w:shd w:val="clear" w:color="auto" w:fill="EAEAEA"/>
          </w:tcPr>
          <w:p>
            <w:pPr>
              <w:spacing w:after="0"/>
              <w:rPr>
                <w:sz w:val="20"/>
                <w:szCs w:val="20"/>
                <w:color w:val="auto"/>
              </w:rPr>
            </w:pPr>
          </w:p>
        </w:tc>
        <w:tc>
          <w:tcPr>
            <w:tcW w:w="96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165,879</w:t>
            </w:r>
          </w:p>
        </w:tc>
        <w:tc>
          <w:tcPr>
            <w:tcW w:w="12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380" w:type="dxa"/>
            <w:vAlign w:val="bottom"/>
            <w:shd w:val="clear" w:color="auto" w:fill="EAEAEA"/>
          </w:tcPr>
          <w:p>
            <w:pPr>
              <w:spacing w:after="0"/>
              <w:rPr>
                <w:sz w:val="20"/>
                <w:szCs w:val="20"/>
                <w:color w:val="auto"/>
              </w:rPr>
            </w:pPr>
          </w:p>
        </w:tc>
        <w:tc>
          <w:tcPr>
            <w:tcW w:w="1020" w:type="dxa"/>
            <w:vAlign w:val="bottom"/>
            <w:gridSpan w:val="3"/>
            <w:shd w:val="clear" w:color="auto" w:fill="EAEAEA"/>
          </w:tcPr>
          <w:p>
            <w:pPr>
              <w:jc w:val="right"/>
              <w:ind w:right="60"/>
              <w:spacing w:after="0"/>
              <w:rPr>
                <w:sz w:val="20"/>
                <w:szCs w:val="20"/>
                <w:color w:val="auto"/>
              </w:rPr>
            </w:pPr>
            <w:r>
              <w:rPr>
                <w:rFonts w:ascii="Times New Roman" w:cs="Times New Roman" w:eastAsia="Times New Roman" w:hAnsi="Times New Roman"/>
                <w:sz w:val="20"/>
                <w:szCs w:val="20"/>
                <w:color w:val="auto"/>
              </w:rPr>
              <w:t>147,898</w:t>
            </w:r>
          </w:p>
        </w:tc>
      </w:tr>
      <w:tr>
        <w:trPr>
          <w:trHeight w:val="225"/>
        </w:trPr>
        <w:tc>
          <w:tcPr>
            <w:tcW w:w="44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Total operating lease liabilities</w:t>
            </w:r>
          </w:p>
        </w:tc>
        <w:tc>
          <w:tcPr>
            <w:tcW w:w="1880" w:type="dxa"/>
            <w:vAlign w:val="bottom"/>
            <w:gridSpan w:val="2"/>
          </w:tcPr>
          <w:p>
            <w:pPr>
              <w:spacing w:after="0"/>
              <w:rPr>
                <w:sz w:val="19"/>
                <w:szCs w:val="19"/>
                <w:color w:val="auto"/>
              </w:rPr>
            </w:pPr>
          </w:p>
        </w:tc>
        <w:tc>
          <w:tcPr>
            <w:tcW w:w="400" w:type="dxa"/>
            <w:vAlign w:val="bottom"/>
            <w:tcBorders>
              <w:top w:val="single" w:sz="8" w:color="auto"/>
              <w:bottom w:val="single" w:sz="8" w:color="auto"/>
            </w:tcBorders>
            <w:gridSpan w:val="2"/>
          </w:tcPr>
          <w:p>
            <w:pPr>
              <w:jc w:val="right"/>
              <w:ind w:right="218"/>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172,586</w:t>
            </w:r>
          </w:p>
        </w:tc>
        <w:tc>
          <w:tcPr>
            <w:tcW w:w="12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38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153,119</w:t>
            </w:r>
          </w:p>
        </w:tc>
        <w:tc>
          <w:tcPr>
            <w:tcW w:w="60" w:type="dxa"/>
            <w:vAlign w:val="bottom"/>
          </w:tcPr>
          <w:p>
            <w:pPr>
              <w:spacing w:after="0"/>
              <w:rPr>
                <w:sz w:val="19"/>
                <w:szCs w:val="19"/>
                <w:color w:val="auto"/>
              </w:rPr>
            </w:pPr>
          </w:p>
        </w:tc>
      </w:tr>
      <w:tr>
        <w:trPr>
          <w:trHeight w:val="409"/>
        </w:trPr>
        <w:tc>
          <w:tcPr>
            <w:tcW w:w="44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Finance lease assets, net </w:t>
            </w:r>
            <w:r>
              <w:rPr>
                <w:rFonts w:ascii="Times New Roman" w:cs="Times New Roman" w:eastAsia="Times New Roman" w:hAnsi="Times New Roman"/>
                <w:sz w:val="16"/>
                <w:szCs w:val="16"/>
                <w:b w:val="1"/>
                <w:bCs w:val="1"/>
                <w:color w:val="auto"/>
              </w:rPr>
              <w:t>(in thousands)</w:t>
            </w: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r>
      <w:tr>
        <w:trPr>
          <w:trHeight w:val="230"/>
        </w:trPr>
        <w:tc>
          <w:tcPr>
            <w:tcW w:w="446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Property and equipment, finance leases</w:t>
            </w:r>
          </w:p>
        </w:tc>
        <w:tc>
          <w:tcPr>
            <w:tcW w:w="2280" w:type="dxa"/>
            <w:vAlign w:val="bottom"/>
            <w:gridSpan w:val="4"/>
            <w:shd w:val="clear" w:color="auto" w:fill="EAEAEA"/>
          </w:tcPr>
          <w:p>
            <w:pPr>
              <w:jc w:val="right"/>
              <w:ind w:right="218"/>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120" w:type="dxa"/>
            <w:vAlign w:val="bottom"/>
            <w:shd w:val="clear" w:color="auto" w:fill="EAEAEA"/>
          </w:tcPr>
          <w:p>
            <w:pPr>
              <w:spacing w:after="0"/>
              <w:rPr>
                <w:sz w:val="20"/>
                <w:szCs w:val="20"/>
                <w:color w:val="auto"/>
              </w:rPr>
            </w:pPr>
          </w:p>
        </w:tc>
        <w:tc>
          <w:tcPr>
            <w:tcW w:w="520" w:type="dxa"/>
            <w:vAlign w:val="bottom"/>
            <w:gridSpan w:val="3"/>
            <w:shd w:val="clear" w:color="auto" w:fill="EAEAEA"/>
          </w:tcPr>
          <w:p>
            <w:pPr>
              <w:jc w:val="right"/>
              <w:ind w:right="218"/>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447</w:t>
            </w:r>
          </w:p>
        </w:tc>
        <w:tc>
          <w:tcPr>
            <w:tcW w:w="2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r>
      <w:tr>
        <w:trPr>
          <w:trHeight w:val="23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Accumulated depreciation, finance leases</w:t>
            </w: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(446)</w:t>
            </w:r>
          </w:p>
        </w:tc>
      </w:tr>
      <w:tr>
        <w:trPr>
          <w:trHeight w:val="225"/>
        </w:trPr>
        <w:tc>
          <w:tcPr>
            <w:tcW w:w="4460" w:type="dxa"/>
            <w:vAlign w:val="bottom"/>
            <w:tcBorders>
              <w:top w:val="single" w:sz="8" w:color="EAEAEA"/>
            </w:tcBorders>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Property and equipment, net finance leases</w:t>
            </w:r>
          </w:p>
        </w:tc>
        <w:tc>
          <w:tcPr>
            <w:tcW w:w="1680" w:type="dxa"/>
            <w:vAlign w:val="bottom"/>
            <w:tcBorders>
              <w:top w:val="single" w:sz="8" w:color="EAEAEA"/>
            </w:tcBorders>
            <w:shd w:val="clear" w:color="auto" w:fill="EAEAEA"/>
          </w:tcPr>
          <w:p>
            <w:pPr>
              <w:spacing w:after="0"/>
              <w:rPr>
                <w:sz w:val="19"/>
                <w:szCs w:val="19"/>
                <w:color w:val="auto"/>
              </w:rPr>
            </w:pPr>
          </w:p>
        </w:tc>
        <w:tc>
          <w:tcPr>
            <w:tcW w:w="200" w:type="dxa"/>
            <w:vAlign w:val="bottom"/>
            <w:tcBorders>
              <w:top w:val="single" w:sz="8" w:color="EAEAEA"/>
            </w:tcBorders>
            <w:shd w:val="clear" w:color="auto" w:fill="EAEAEA"/>
          </w:tcPr>
          <w:p>
            <w:pPr>
              <w:spacing w:after="0"/>
              <w:rPr>
                <w:sz w:val="19"/>
                <w:szCs w:val="19"/>
                <w:color w:val="auto"/>
              </w:rPr>
            </w:pPr>
          </w:p>
        </w:tc>
        <w:tc>
          <w:tcPr>
            <w:tcW w:w="20" w:type="dxa"/>
            <w:vAlign w:val="bottom"/>
            <w:tcBorders>
              <w:top w:val="single" w:sz="8" w:color="EAEAEA"/>
            </w:tcBorders>
            <w:shd w:val="clear" w:color="auto" w:fill="EAEAEA"/>
          </w:tcPr>
          <w:p>
            <w:pPr>
              <w:spacing w:after="0"/>
              <w:rPr>
                <w:sz w:val="19"/>
                <w:szCs w:val="19"/>
                <w:color w:val="auto"/>
              </w:rPr>
            </w:pPr>
          </w:p>
        </w:tc>
        <w:tc>
          <w:tcPr>
            <w:tcW w:w="380" w:type="dxa"/>
            <w:vAlign w:val="bottom"/>
            <w:tcBorders>
              <w:top w:val="single" w:sz="8" w:color="auto"/>
              <w:bottom w:val="single" w:sz="8" w:color="auto"/>
            </w:tcBorders>
            <w:shd w:val="clear" w:color="auto" w:fill="EAEAEA"/>
          </w:tcPr>
          <w:p>
            <w:pPr>
              <w:jc w:val="right"/>
              <w:ind w:right="218"/>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gridSpan w:val="2"/>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22</w:t>
            </w:r>
          </w:p>
        </w:tc>
        <w:tc>
          <w:tcPr>
            <w:tcW w:w="120" w:type="dxa"/>
            <w:vAlign w:val="bottom"/>
            <w:tcBorders>
              <w:top w:val="single" w:sz="8" w:color="EAEAEA"/>
            </w:tcBorders>
            <w:shd w:val="clear" w:color="auto" w:fill="EAEAEA"/>
          </w:tcPr>
          <w:p>
            <w:pPr>
              <w:spacing w:after="0"/>
              <w:rPr>
                <w:sz w:val="19"/>
                <w:szCs w:val="19"/>
                <w:color w:val="auto"/>
              </w:rPr>
            </w:pPr>
          </w:p>
        </w:tc>
        <w:tc>
          <w:tcPr>
            <w:tcW w:w="120" w:type="dxa"/>
            <w:vAlign w:val="bottom"/>
            <w:tcBorders>
              <w:top w:val="single" w:sz="8" w:color="EAEAEA"/>
            </w:tcBorders>
            <w:shd w:val="clear" w:color="auto" w:fill="EAEAEA"/>
          </w:tcPr>
          <w:p>
            <w:pPr>
              <w:spacing w:after="0"/>
              <w:rPr>
                <w:sz w:val="19"/>
                <w:szCs w:val="19"/>
                <w:color w:val="auto"/>
              </w:rPr>
            </w:pPr>
          </w:p>
        </w:tc>
        <w:tc>
          <w:tcPr>
            <w:tcW w:w="400" w:type="dxa"/>
            <w:vAlign w:val="bottom"/>
            <w:tcBorders>
              <w:top w:val="single" w:sz="8" w:color="auto"/>
              <w:bottom w:val="single" w:sz="8" w:color="auto"/>
            </w:tcBorders>
            <w:gridSpan w:val="2"/>
            <w:shd w:val="clear" w:color="auto" w:fill="EAEAEA"/>
          </w:tcPr>
          <w:p>
            <w:pPr>
              <w:jc w:val="right"/>
              <w:ind w:right="218"/>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1</w:t>
            </w:r>
          </w:p>
        </w:tc>
        <w:tc>
          <w:tcPr>
            <w:tcW w:w="20" w:type="dxa"/>
            <w:vAlign w:val="bottom"/>
            <w:tcBorders>
              <w:top w:val="single" w:sz="8" w:color="EAEAEA"/>
            </w:tcBorders>
            <w:shd w:val="clear" w:color="auto" w:fill="EAEAEA"/>
          </w:tcPr>
          <w:p>
            <w:pPr>
              <w:spacing w:after="0"/>
              <w:rPr>
                <w:sz w:val="19"/>
                <w:szCs w:val="19"/>
                <w:color w:val="auto"/>
              </w:rPr>
            </w:pPr>
          </w:p>
        </w:tc>
        <w:tc>
          <w:tcPr>
            <w:tcW w:w="60" w:type="dxa"/>
            <w:vAlign w:val="bottom"/>
            <w:tcBorders>
              <w:top w:val="single" w:sz="8" w:color="EAEAEA"/>
            </w:tcBorders>
            <w:shd w:val="clear" w:color="auto" w:fill="EAEAEA"/>
          </w:tcPr>
          <w:p>
            <w:pPr>
              <w:spacing w:after="0"/>
              <w:rPr>
                <w:sz w:val="19"/>
                <w:szCs w:val="19"/>
                <w:color w:val="auto"/>
              </w:rPr>
            </w:pPr>
          </w:p>
        </w:tc>
      </w:tr>
      <w:tr>
        <w:trPr>
          <w:trHeight w:val="409"/>
        </w:trPr>
        <w:tc>
          <w:tcPr>
            <w:tcW w:w="44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Finance lease liabilities </w:t>
            </w:r>
            <w:r>
              <w:rPr>
                <w:rFonts w:ascii="Times New Roman" w:cs="Times New Roman" w:eastAsia="Times New Roman" w:hAnsi="Times New Roman"/>
                <w:sz w:val="16"/>
                <w:szCs w:val="16"/>
                <w:b w:val="1"/>
                <w:bCs w:val="1"/>
                <w:color w:val="auto"/>
              </w:rPr>
              <w:t>(in thousands)</w:t>
            </w:r>
          </w:p>
        </w:tc>
        <w:tc>
          <w:tcPr>
            <w:tcW w:w="1680" w:type="dxa"/>
            <w:vAlign w:val="bottom"/>
          </w:tcPr>
          <w:p>
            <w:pPr>
              <w:spacing w:after="0"/>
              <w:rPr>
                <w:sz w:val="24"/>
                <w:szCs w:val="24"/>
                <w:color w:val="auto"/>
              </w:rPr>
            </w:pPr>
          </w:p>
        </w:tc>
        <w:tc>
          <w:tcPr>
            <w:tcW w:w="15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Pr>
          <w:p>
            <w:pPr>
              <w:spacing w:after="0"/>
              <w:rPr>
                <w:sz w:val="24"/>
                <w:szCs w:val="24"/>
                <w:color w:val="auto"/>
              </w:rPr>
            </w:pPr>
          </w:p>
        </w:tc>
        <w:tc>
          <w:tcPr>
            <w:tcW w:w="154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30"/>
        </w:trPr>
        <w:tc>
          <w:tcPr>
            <w:tcW w:w="446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Obligations under finance leases, current</w:t>
            </w:r>
          </w:p>
        </w:tc>
        <w:tc>
          <w:tcPr>
            <w:tcW w:w="1880" w:type="dxa"/>
            <w:vAlign w:val="bottom"/>
            <w:gridSpan w:val="2"/>
            <w:shd w:val="clear" w:color="auto" w:fill="EAEAEA"/>
          </w:tcPr>
          <w:p>
            <w:pPr>
              <w:ind w:left="16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EAEAEA"/>
          </w:tcPr>
          <w:p>
            <w:pPr>
              <w:spacing w:after="0"/>
              <w:rPr>
                <w:sz w:val="20"/>
                <w:szCs w:val="20"/>
                <w:color w:val="auto"/>
              </w:rPr>
            </w:pPr>
          </w:p>
        </w:tc>
        <w:tc>
          <w:tcPr>
            <w:tcW w:w="380" w:type="dxa"/>
            <w:vAlign w:val="bottom"/>
            <w:shd w:val="clear" w:color="auto" w:fill="EAEAEA"/>
          </w:tcPr>
          <w:p>
            <w:pPr>
              <w:spacing w:after="0"/>
              <w:rPr>
                <w:sz w:val="20"/>
                <w:szCs w:val="20"/>
                <w:color w:val="auto"/>
              </w:rPr>
            </w:pPr>
          </w:p>
        </w:tc>
        <w:tc>
          <w:tcPr>
            <w:tcW w:w="7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40" w:type="dxa"/>
            <w:vAlign w:val="bottom"/>
            <w:shd w:val="clear" w:color="auto" w:fill="EAEAEA"/>
          </w:tcPr>
          <w:p>
            <w:pPr>
              <w:spacing w:after="0"/>
              <w:rPr>
                <w:sz w:val="20"/>
                <w:szCs w:val="20"/>
                <w:color w:val="auto"/>
              </w:rPr>
            </w:pPr>
          </w:p>
        </w:tc>
        <w:tc>
          <w:tcPr>
            <w:tcW w:w="1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380" w:type="dxa"/>
            <w:vAlign w:val="bottom"/>
            <w:shd w:val="clear" w:color="auto" w:fill="EAEAEA"/>
          </w:tcPr>
          <w:p>
            <w:pPr>
              <w:spacing w:after="0"/>
              <w:rPr>
                <w:sz w:val="20"/>
                <w:szCs w:val="20"/>
                <w:color w:val="auto"/>
              </w:rPr>
            </w:pPr>
          </w:p>
        </w:tc>
        <w:tc>
          <w:tcPr>
            <w:tcW w:w="1020" w:type="dxa"/>
            <w:vAlign w:val="bottom"/>
            <w:gridSpan w:val="3"/>
            <w:shd w:val="clear" w:color="auto" w:fill="EAEAEA"/>
          </w:tcPr>
          <w:p>
            <w:pPr>
              <w:jc w:val="right"/>
              <w:ind w:right="60"/>
              <w:spacing w:after="0"/>
              <w:rPr>
                <w:sz w:val="20"/>
                <w:szCs w:val="20"/>
                <w:color w:val="auto"/>
              </w:rPr>
            </w:pPr>
            <w:r>
              <w:rPr>
                <w:rFonts w:ascii="Times New Roman" w:cs="Times New Roman" w:eastAsia="Times New Roman" w:hAnsi="Times New Roman"/>
                <w:sz w:val="20"/>
                <w:szCs w:val="20"/>
                <w:color w:val="auto"/>
              </w:rPr>
              <w:t>26</w:t>
            </w:r>
          </w:p>
        </w:tc>
      </w:tr>
      <w:tr>
        <w:trPr>
          <w:trHeight w:val="23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Obligations under finance leases, net of current portion</w:t>
            </w: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25"/>
        </w:trPr>
        <w:tc>
          <w:tcPr>
            <w:tcW w:w="4460" w:type="dxa"/>
            <w:vAlign w:val="bottom"/>
            <w:tcBorders>
              <w:top w:val="single" w:sz="8" w:color="EAEAEA"/>
            </w:tcBorders>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Total finance lease liabilities</w:t>
            </w:r>
          </w:p>
        </w:tc>
        <w:tc>
          <w:tcPr>
            <w:tcW w:w="1680" w:type="dxa"/>
            <w:vAlign w:val="bottom"/>
            <w:tcBorders>
              <w:top w:val="single" w:sz="8" w:color="EAEAEA"/>
            </w:tcBorders>
            <w:shd w:val="clear" w:color="auto" w:fill="EAEAEA"/>
          </w:tcPr>
          <w:p>
            <w:pPr>
              <w:spacing w:after="0"/>
              <w:rPr>
                <w:sz w:val="19"/>
                <w:szCs w:val="19"/>
                <w:color w:val="auto"/>
              </w:rPr>
            </w:pPr>
          </w:p>
        </w:tc>
        <w:tc>
          <w:tcPr>
            <w:tcW w:w="200" w:type="dxa"/>
            <w:vAlign w:val="bottom"/>
            <w:tcBorders>
              <w:top w:val="single" w:sz="8" w:color="auto"/>
              <w:bottom w:val="single" w:sz="8" w:color="auto"/>
            </w:tcBorders>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top w:val="single" w:sz="8" w:color="auto"/>
              <w:bottom w:val="single" w:sz="8" w:color="auto"/>
            </w:tcBorders>
            <w:shd w:val="clear" w:color="auto" w:fill="EAEAEA"/>
          </w:tcPr>
          <w:p>
            <w:pPr>
              <w:spacing w:after="0"/>
              <w:rPr>
                <w:sz w:val="19"/>
                <w:szCs w:val="19"/>
                <w:color w:val="auto"/>
              </w:rPr>
            </w:pPr>
          </w:p>
        </w:tc>
        <w:tc>
          <w:tcPr>
            <w:tcW w:w="380" w:type="dxa"/>
            <w:vAlign w:val="bottom"/>
            <w:tcBorders>
              <w:top w:val="single" w:sz="8" w:color="auto"/>
              <w:bottom w:val="single" w:sz="8" w:color="auto"/>
            </w:tcBorders>
            <w:shd w:val="clear" w:color="auto" w:fill="EAEAEA"/>
          </w:tcPr>
          <w:p>
            <w:pPr>
              <w:spacing w:after="0"/>
              <w:rPr>
                <w:sz w:val="19"/>
                <w:szCs w:val="19"/>
                <w:color w:val="auto"/>
              </w:rPr>
            </w:pPr>
          </w:p>
        </w:tc>
        <w:tc>
          <w:tcPr>
            <w:tcW w:w="720" w:type="dxa"/>
            <w:vAlign w:val="bottom"/>
            <w:tcBorders>
              <w:top w:val="single" w:sz="8" w:color="auto"/>
              <w:bottom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22</w:t>
            </w:r>
          </w:p>
        </w:tc>
        <w:tc>
          <w:tcPr>
            <w:tcW w:w="240" w:type="dxa"/>
            <w:vAlign w:val="bottom"/>
            <w:tcBorders>
              <w:top w:val="single" w:sz="8" w:color="EAEAEA"/>
            </w:tcBorders>
            <w:shd w:val="clear" w:color="auto" w:fill="EAEAEA"/>
          </w:tcPr>
          <w:p>
            <w:pPr>
              <w:spacing w:after="0"/>
              <w:rPr>
                <w:sz w:val="19"/>
                <w:szCs w:val="19"/>
                <w:color w:val="auto"/>
              </w:rPr>
            </w:pPr>
          </w:p>
        </w:tc>
        <w:tc>
          <w:tcPr>
            <w:tcW w:w="120" w:type="dxa"/>
            <w:vAlign w:val="bottom"/>
            <w:tcBorders>
              <w:top w:val="single" w:sz="8" w:color="auto"/>
              <w:bottom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0" w:type="dxa"/>
            <w:vAlign w:val="bottom"/>
            <w:tcBorders>
              <w:top w:val="single" w:sz="8" w:color="auto"/>
              <w:bottom w:val="single" w:sz="8" w:color="auto"/>
            </w:tcBorders>
            <w:shd w:val="clear" w:color="auto" w:fill="EAEAEA"/>
          </w:tcPr>
          <w:p>
            <w:pPr>
              <w:spacing w:after="0"/>
              <w:rPr>
                <w:sz w:val="19"/>
                <w:szCs w:val="19"/>
                <w:color w:val="auto"/>
              </w:rPr>
            </w:pPr>
          </w:p>
        </w:tc>
        <w:tc>
          <w:tcPr>
            <w:tcW w:w="20" w:type="dxa"/>
            <w:vAlign w:val="bottom"/>
            <w:tcBorders>
              <w:top w:val="single" w:sz="8" w:color="auto"/>
              <w:bottom w:val="single" w:sz="8" w:color="auto"/>
            </w:tcBorders>
            <w:shd w:val="clear" w:color="auto" w:fill="EAEAEA"/>
          </w:tcPr>
          <w:p>
            <w:pPr>
              <w:spacing w:after="0"/>
              <w:rPr>
                <w:sz w:val="19"/>
                <w:szCs w:val="19"/>
                <w:color w:val="auto"/>
              </w:rPr>
            </w:pPr>
          </w:p>
        </w:tc>
        <w:tc>
          <w:tcPr>
            <w:tcW w:w="380" w:type="dxa"/>
            <w:vAlign w:val="bottom"/>
            <w:tcBorders>
              <w:top w:val="single" w:sz="8" w:color="auto"/>
              <w:bottom w:val="single" w:sz="8" w:color="auto"/>
            </w:tcBorders>
            <w:shd w:val="clear" w:color="auto" w:fill="EAEAEA"/>
          </w:tcPr>
          <w:p>
            <w:pPr>
              <w:spacing w:after="0"/>
              <w:rPr>
                <w:sz w:val="19"/>
                <w:szCs w:val="19"/>
                <w:color w:val="auto"/>
              </w:rPr>
            </w:pPr>
          </w:p>
        </w:tc>
        <w:tc>
          <w:tcPr>
            <w:tcW w:w="960" w:type="dxa"/>
            <w:vAlign w:val="bottom"/>
            <w:tcBorders>
              <w:top w:val="single" w:sz="8" w:color="auto"/>
              <w:bottom w:val="single" w:sz="8" w:color="auto"/>
            </w:tcBorders>
            <w:gridSpan w:val="2"/>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26</w:t>
            </w:r>
          </w:p>
        </w:tc>
        <w:tc>
          <w:tcPr>
            <w:tcW w:w="60" w:type="dxa"/>
            <w:vAlign w:val="bottom"/>
            <w:tcBorders>
              <w:top w:val="single" w:sz="8" w:color="EAEAEA"/>
            </w:tcBorders>
            <w:shd w:val="clear" w:color="auto" w:fill="EAEAEA"/>
          </w:tcPr>
          <w:p>
            <w:pPr>
              <w:spacing w:after="0"/>
              <w:rPr>
                <w:sz w:val="19"/>
                <w:szCs w:val="19"/>
                <w:color w:val="auto"/>
              </w:rPr>
            </w:pPr>
          </w:p>
        </w:tc>
      </w:tr>
      <w:tr>
        <w:trPr>
          <w:trHeight w:val="600"/>
        </w:trPr>
        <w:tc>
          <w:tcPr>
            <w:tcW w:w="4460" w:type="dxa"/>
            <w:vAlign w:val="bottom"/>
          </w:tcPr>
          <w:p>
            <w:pPr>
              <w:spacing w:after="0"/>
              <w:rPr>
                <w:sz w:val="24"/>
                <w:szCs w:val="24"/>
                <w:color w:val="auto"/>
              </w:rPr>
            </w:pPr>
          </w:p>
        </w:tc>
        <w:tc>
          <w:tcPr>
            <w:tcW w:w="2280" w:type="dxa"/>
            <w:vAlign w:val="bottom"/>
            <w:gridSpan w:val="4"/>
          </w:tcPr>
          <w:p>
            <w:pPr>
              <w:jc w:val="right"/>
              <w:ind w:right="1778"/>
              <w:spacing w:after="0"/>
              <w:rPr>
                <w:sz w:val="20"/>
                <w:szCs w:val="20"/>
                <w:color w:val="auto"/>
              </w:rPr>
            </w:pPr>
            <w:r>
              <w:rPr>
                <w:rFonts w:ascii="Times New Roman" w:cs="Times New Roman" w:eastAsia="Times New Roman" w:hAnsi="Times New Roman"/>
                <w:sz w:val="20"/>
                <w:szCs w:val="20"/>
                <w:color w:val="292929"/>
              </w:rPr>
              <w:t>F-21</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2240" w:h="15840" w:orient="portrait"/>
          <w:cols w:equalWidth="0" w:num="1">
            <w:col w:w="9540"/>
          </w:cols>
          <w:pgMar w:left="1260" w:top="224" w:right="1440" w:bottom="31" w:gutter="0" w:footer="0" w:header="0"/>
        </w:sectPr>
      </w:pPr>
    </w:p>
    <w:bookmarkStart w:id="87" w:name="page88"/>
    <w:bookmarkEnd w:id="87"/>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GEN RESTAURANT GROUP, INC.</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Notes to Consolidated Financial Statements</w:t>
      </w: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5"/>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r>
      <w:tr>
        <w:trPr>
          <w:trHeight w:val="239"/>
        </w:trPr>
        <w:tc>
          <w:tcPr>
            <w:tcW w:w="6320" w:type="dxa"/>
            <w:vAlign w:val="bottom"/>
            <w:tcBorders>
              <w:top w:val="single" w:sz="8" w:color="EAEAEA"/>
            </w:tcBorders>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rPr>
              <w:t>Weighted-Average Remaining Lease Term (Years)</w:t>
            </w:r>
          </w:p>
        </w:tc>
        <w:tc>
          <w:tcPr>
            <w:tcW w:w="20" w:type="dxa"/>
            <w:vAlign w:val="bottom"/>
            <w:tcBorders>
              <w:top w:val="single" w:sz="8" w:color="EAEAEA"/>
            </w:tcBorders>
            <w:shd w:val="clear" w:color="auto" w:fill="EAEAEA"/>
          </w:tcPr>
          <w:p>
            <w:pPr>
              <w:spacing w:after="0"/>
              <w:rPr>
                <w:sz w:val="20"/>
                <w:szCs w:val="20"/>
                <w:color w:val="auto"/>
              </w:rPr>
            </w:pPr>
          </w:p>
        </w:tc>
        <w:tc>
          <w:tcPr>
            <w:tcW w:w="320" w:type="dxa"/>
            <w:vAlign w:val="bottom"/>
            <w:tcBorders>
              <w:top w:val="single" w:sz="8" w:color="EAEAEA"/>
            </w:tcBorders>
            <w:shd w:val="clear" w:color="auto" w:fill="EAEAEA"/>
          </w:tcPr>
          <w:p>
            <w:pPr>
              <w:spacing w:after="0"/>
              <w:rPr>
                <w:sz w:val="20"/>
                <w:szCs w:val="20"/>
                <w:color w:val="auto"/>
              </w:rPr>
            </w:pPr>
          </w:p>
        </w:tc>
        <w:tc>
          <w:tcPr>
            <w:tcW w:w="960" w:type="dxa"/>
            <w:vAlign w:val="bottom"/>
            <w:tcBorders>
              <w:top w:val="single" w:sz="8" w:color="EAEAEA"/>
            </w:tcBorders>
            <w:shd w:val="clear" w:color="auto" w:fill="EAEAEA"/>
          </w:tcPr>
          <w:p>
            <w:pPr>
              <w:spacing w:after="0"/>
              <w:rPr>
                <w:sz w:val="20"/>
                <w:szCs w:val="20"/>
                <w:color w:val="auto"/>
              </w:rPr>
            </w:pPr>
          </w:p>
        </w:tc>
        <w:tc>
          <w:tcPr>
            <w:tcW w:w="20" w:type="dxa"/>
            <w:vAlign w:val="bottom"/>
            <w:tcBorders>
              <w:top w:val="single" w:sz="8" w:color="auto"/>
            </w:tcBorders>
            <w:shd w:val="clear" w:color="auto" w:fill="EAEAEA"/>
          </w:tcPr>
          <w:p>
            <w:pPr>
              <w:spacing w:after="0"/>
              <w:rPr>
                <w:sz w:val="20"/>
                <w:szCs w:val="20"/>
                <w:color w:val="auto"/>
              </w:rPr>
            </w:pPr>
          </w:p>
        </w:tc>
        <w:tc>
          <w:tcPr>
            <w:tcW w:w="80" w:type="dxa"/>
            <w:vAlign w:val="bottom"/>
            <w:tcBorders>
              <w:top w:val="single" w:sz="8" w:color="auto"/>
            </w:tcBorders>
            <w:shd w:val="clear" w:color="auto" w:fill="EAEAEA"/>
          </w:tcPr>
          <w:p>
            <w:pPr>
              <w:spacing w:after="0"/>
              <w:rPr>
                <w:sz w:val="20"/>
                <w:szCs w:val="20"/>
                <w:color w:val="auto"/>
              </w:rPr>
            </w:pPr>
          </w:p>
        </w:tc>
        <w:tc>
          <w:tcPr>
            <w:tcW w:w="240" w:type="dxa"/>
            <w:vAlign w:val="bottom"/>
            <w:tcBorders>
              <w:top w:val="single" w:sz="8" w:color="auto"/>
            </w:tcBorders>
            <w:shd w:val="clear" w:color="auto" w:fill="EAEAEA"/>
          </w:tcPr>
          <w:p>
            <w:pPr>
              <w:spacing w:after="0"/>
              <w:rPr>
                <w:sz w:val="20"/>
                <w:szCs w:val="20"/>
                <w:color w:val="auto"/>
              </w:rPr>
            </w:pPr>
          </w:p>
        </w:tc>
        <w:tc>
          <w:tcPr>
            <w:tcW w:w="120" w:type="dxa"/>
            <w:vAlign w:val="bottom"/>
            <w:tcBorders>
              <w:top w:val="single" w:sz="8" w:color="auto"/>
            </w:tcBorders>
            <w:shd w:val="clear" w:color="auto" w:fill="EAEAEA"/>
          </w:tcPr>
          <w:p>
            <w:pPr>
              <w:spacing w:after="0"/>
              <w:rPr>
                <w:sz w:val="20"/>
                <w:szCs w:val="20"/>
                <w:color w:val="auto"/>
              </w:rPr>
            </w:pPr>
          </w:p>
        </w:tc>
        <w:tc>
          <w:tcPr>
            <w:tcW w:w="1060" w:type="dxa"/>
            <w:vAlign w:val="bottom"/>
            <w:tcBorders>
              <w:top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top w:val="single" w:sz="8" w:color="EAEAEA"/>
            </w:tcBorders>
            <w:shd w:val="clear" w:color="auto" w:fill="EAEAEA"/>
          </w:tcPr>
          <w:p>
            <w:pPr>
              <w:spacing w:after="0"/>
              <w:rPr>
                <w:sz w:val="20"/>
                <w:szCs w:val="20"/>
                <w:color w:val="auto"/>
              </w:rPr>
            </w:pPr>
          </w:p>
        </w:tc>
        <w:tc>
          <w:tcPr>
            <w:tcW w:w="80" w:type="dxa"/>
            <w:vAlign w:val="bottom"/>
            <w:tcBorders>
              <w:top w:val="single" w:sz="8" w:color="EAEAEA"/>
            </w:tcBorders>
            <w:shd w:val="clear" w:color="auto" w:fill="EAEAEA"/>
          </w:tcPr>
          <w:p>
            <w:pPr>
              <w:spacing w:after="0"/>
              <w:rPr>
                <w:sz w:val="20"/>
                <w:szCs w:val="20"/>
                <w:color w:val="auto"/>
              </w:rPr>
            </w:pPr>
          </w:p>
        </w:tc>
      </w:tr>
      <w:tr>
        <w:trPr>
          <w:trHeight w:val="244"/>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3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Finance leases</w:t>
            </w:r>
          </w:p>
        </w:tc>
        <w:tc>
          <w:tcPr>
            <w:tcW w:w="2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96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24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10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14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r>
      <w:tr>
        <w:trPr>
          <w:trHeight w:val="244"/>
        </w:trPr>
        <w:tc>
          <w:tcPr>
            <w:tcW w:w="6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Weighted-Average Discount Rate</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3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Operating leases</w:t>
            </w:r>
          </w:p>
        </w:tc>
        <w:tc>
          <w:tcPr>
            <w:tcW w:w="2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96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24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1280" w:type="dxa"/>
            <w:vAlign w:val="bottom"/>
            <w:gridSpan w:val="3"/>
            <w:shd w:val="clear" w:color="auto" w:fill="EAEAEA"/>
          </w:tcPr>
          <w:p>
            <w:pPr>
              <w:jc w:val="right"/>
              <w:ind w:right="40"/>
              <w:spacing w:after="0"/>
              <w:rPr>
                <w:sz w:val="20"/>
                <w:szCs w:val="20"/>
                <w:color w:val="auto"/>
              </w:rPr>
            </w:pPr>
            <w:r>
              <w:rPr>
                <w:rFonts w:ascii="Times New Roman" w:cs="Times New Roman" w:eastAsia="Times New Roman" w:hAnsi="Times New Roman"/>
                <w:sz w:val="20"/>
                <w:szCs w:val="20"/>
                <w:color w:val="auto"/>
              </w:rPr>
              <w:t>7.0%</w:t>
            </w:r>
          </w:p>
        </w:tc>
      </w:tr>
      <w:tr>
        <w:trPr>
          <w:trHeight w:val="266"/>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leases</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7.1%</w:t>
            </w:r>
          </w:p>
        </w:tc>
      </w:tr>
      <w:tr>
        <w:trPr>
          <w:trHeight w:val="455"/>
        </w:trPr>
        <w:tc>
          <w:tcPr>
            <w:tcW w:w="63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Maturities of lease liabilities as of December 31, 2025:</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1"/>
        </w:trPr>
        <w:tc>
          <w:tcPr>
            <w:tcW w:w="6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 w:type="dxa"/>
            <w:vAlign w:val="bottom"/>
          </w:tcPr>
          <w:p>
            <w:pPr>
              <w:spacing w:after="0"/>
              <w:rPr>
                <w:sz w:val="24"/>
                <w:szCs w:val="24"/>
                <w:color w:val="auto"/>
              </w:rPr>
            </w:pPr>
          </w:p>
        </w:tc>
        <w:tc>
          <w:tcPr>
            <w:tcW w:w="138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8"/>
              </w:rPr>
              <w:t>Finance Leases</w:t>
            </w:r>
          </w:p>
        </w:tc>
      </w:tr>
      <w:tr>
        <w:trPr>
          <w:trHeight w:val="239"/>
        </w:trPr>
        <w:tc>
          <w:tcPr>
            <w:tcW w:w="6320" w:type="dxa"/>
            <w:vAlign w:val="bottom"/>
            <w:tcBorders>
              <w:top w:val="single" w:sz="8" w:color="EAEAEA"/>
            </w:tcBorders>
            <w:shd w:val="clear" w:color="auto" w:fill="EAEAEA"/>
          </w:tcPr>
          <w:p>
            <w:pPr>
              <w:spacing w:after="0"/>
              <w:rPr>
                <w:sz w:val="20"/>
                <w:szCs w:val="20"/>
                <w:color w:val="auto"/>
              </w:rPr>
            </w:pPr>
            <w:r>
              <w:rPr>
                <w:rFonts w:ascii="Times New Roman" w:cs="Times New Roman" w:eastAsia="Times New Roman" w:hAnsi="Times New Roman"/>
                <w:sz w:val="20"/>
                <w:szCs w:val="20"/>
                <w:color w:val="auto"/>
              </w:rPr>
              <w:t>2026</w:t>
            </w:r>
          </w:p>
        </w:tc>
        <w:tc>
          <w:tcPr>
            <w:tcW w:w="20" w:type="dxa"/>
            <w:vAlign w:val="bottom"/>
            <w:tcBorders>
              <w:top w:val="single" w:sz="8" w:color="EAEAEA"/>
            </w:tcBorders>
            <w:shd w:val="clear" w:color="auto" w:fill="EAEAEA"/>
          </w:tcPr>
          <w:p>
            <w:pPr>
              <w:spacing w:after="0"/>
              <w:rPr>
                <w:sz w:val="20"/>
                <w:szCs w:val="20"/>
                <w:color w:val="auto"/>
              </w:rPr>
            </w:pPr>
          </w:p>
        </w:tc>
        <w:tc>
          <w:tcPr>
            <w:tcW w:w="320" w:type="dxa"/>
            <w:vAlign w:val="bottom"/>
            <w:tcBorders>
              <w:top w:val="single" w:sz="8" w:color="auto"/>
            </w:tcBorders>
            <w:shd w:val="clear" w:color="auto" w:fill="EAEAEA"/>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17,562</w:t>
            </w:r>
          </w:p>
        </w:tc>
        <w:tc>
          <w:tcPr>
            <w:tcW w:w="80" w:type="dxa"/>
            <w:vAlign w:val="bottom"/>
            <w:tcBorders>
              <w:top w:val="single" w:sz="8" w:color="EAEAEA"/>
            </w:tcBorders>
            <w:shd w:val="clear" w:color="auto" w:fill="EAEAEA"/>
          </w:tcPr>
          <w:p>
            <w:pPr>
              <w:spacing w:after="0"/>
              <w:rPr>
                <w:sz w:val="20"/>
                <w:szCs w:val="20"/>
                <w:color w:val="auto"/>
              </w:rPr>
            </w:pPr>
          </w:p>
        </w:tc>
        <w:tc>
          <w:tcPr>
            <w:tcW w:w="240" w:type="dxa"/>
            <w:vAlign w:val="bottom"/>
            <w:tcBorders>
              <w:top w:val="single" w:sz="8" w:color="EAEAEA"/>
            </w:tcBorders>
            <w:shd w:val="clear" w:color="auto" w:fill="EAEAEA"/>
          </w:tcPr>
          <w:p>
            <w:pPr>
              <w:spacing w:after="0"/>
              <w:rPr>
                <w:sz w:val="20"/>
                <w:szCs w:val="20"/>
                <w:color w:val="auto"/>
              </w:rPr>
            </w:pPr>
          </w:p>
        </w:tc>
        <w:tc>
          <w:tcPr>
            <w:tcW w:w="120" w:type="dxa"/>
            <w:vAlign w:val="bottom"/>
            <w:tcBorders>
              <w:top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top w:val="single" w:sz="8" w:color="auto"/>
            </w:tcBorders>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9</w:t>
            </w:r>
          </w:p>
        </w:tc>
        <w:tc>
          <w:tcPr>
            <w:tcW w:w="80" w:type="dxa"/>
            <w:vAlign w:val="bottom"/>
            <w:tcBorders>
              <w:top w:val="single" w:sz="8" w:color="EAEAEA"/>
            </w:tcBorders>
            <w:shd w:val="clear" w:color="auto" w:fill="EAEAEA"/>
          </w:tcPr>
          <w:p>
            <w:pPr>
              <w:spacing w:after="0"/>
              <w:rPr>
                <w:sz w:val="20"/>
                <w:szCs w:val="20"/>
                <w:color w:val="auto"/>
              </w:rPr>
            </w:pPr>
          </w:p>
        </w:tc>
      </w:tr>
      <w:tr>
        <w:trPr>
          <w:trHeight w:val="244"/>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18,073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21"/>
                <w:szCs w:val="21"/>
                <w:color w:val="auto"/>
              </w:rPr>
            </w:pPr>
          </w:p>
        </w:tc>
      </w:tr>
      <w:tr>
        <w:trPr>
          <w:trHeight w:val="244"/>
        </w:trPr>
        <w:tc>
          <w:tcPr>
            <w:tcW w:w="63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2028</w:t>
            </w:r>
          </w:p>
        </w:tc>
        <w:tc>
          <w:tcPr>
            <w:tcW w:w="2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98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18,331</w:t>
            </w:r>
          </w:p>
        </w:tc>
        <w:tc>
          <w:tcPr>
            <w:tcW w:w="80" w:type="dxa"/>
            <w:vAlign w:val="bottom"/>
            <w:shd w:val="clear" w:color="auto" w:fill="EAEAEA"/>
          </w:tcPr>
          <w:p>
            <w:pPr>
              <w:spacing w:after="0"/>
              <w:rPr>
                <w:sz w:val="21"/>
                <w:szCs w:val="21"/>
                <w:color w:val="auto"/>
              </w:rPr>
            </w:pPr>
          </w:p>
        </w:tc>
        <w:tc>
          <w:tcPr>
            <w:tcW w:w="24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120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shd w:val="clear" w:color="auto" w:fill="EAEAEA"/>
          </w:tcPr>
          <w:p>
            <w:pPr>
              <w:spacing w:after="0"/>
              <w:rPr>
                <w:sz w:val="21"/>
                <w:szCs w:val="21"/>
                <w:color w:val="auto"/>
              </w:rPr>
            </w:pPr>
          </w:p>
        </w:tc>
      </w:tr>
      <w:tr>
        <w:trPr>
          <w:trHeight w:val="244"/>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18,630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3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2030</w:t>
            </w:r>
          </w:p>
        </w:tc>
        <w:tc>
          <w:tcPr>
            <w:tcW w:w="2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98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18,739</w:t>
            </w:r>
          </w:p>
        </w:tc>
        <w:tc>
          <w:tcPr>
            <w:tcW w:w="80" w:type="dxa"/>
            <w:vAlign w:val="bottom"/>
            <w:shd w:val="clear" w:color="auto" w:fill="EAEAEA"/>
          </w:tcPr>
          <w:p>
            <w:pPr>
              <w:spacing w:after="0"/>
              <w:rPr>
                <w:sz w:val="21"/>
                <w:szCs w:val="21"/>
                <w:color w:val="auto"/>
              </w:rPr>
            </w:pPr>
          </w:p>
        </w:tc>
        <w:tc>
          <w:tcPr>
            <w:tcW w:w="24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1280" w:type="dxa"/>
            <w:vAlign w:val="bottom"/>
            <w:gridSpan w:val="3"/>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205,410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39"/>
        </w:trPr>
        <w:tc>
          <w:tcPr>
            <w:tcW w:w="6320" w:type="dxa"/>
            <w:vAlign w:val="bottom"/>
            <w:tcBorders>
              <w:top w:val="single" w:sz="8" w:color="EAEAEA"/>
            </w:tcBorders>
            <w:shd w:val="clear" w:color="auto" w:fill="EAEAEA"/>
          </w:tcPr>
          <w:p>
            <w:pPr>
              <w:spacing w:after="0"/>
              <w:rPr>
                <w:sz w:val="20"/>
                <w:szCs w:val="20"/>
                <w:color w:val="auto"/>
              </w:rPr>
            </w:pPr>
            <w:r>
              <w:rPr>
                <w:rFonts w:ascii="Times New Roman" w:cs="Times New Roman" w:eastAsia="Times New Roman" w:hAnsi="Times New Roman"/>
                <w:sz w:val="20"/>
                <w:szCs w:val="20"/>
                <w:color w:val="auto"/>
              </w:rPr>
              <w:t>Total undiscounted lease payments</w:t>
            </w:r>
          </w:p>
        </w:tc>
        <w:tc>
          <w:tcPr>
            <w:tcW w:w="20" w:type="dxa"/>
            <w:vAlign w:val="bottom"/>
            <w:tcBorders>
              <w:top w:val="single" w:sz="8" w:color="EAEAEA"/>
            </w:tcBorders>
            <w:shd w:val="clear" w:color="auto" w:fill="EAEAEA"/>
          </w:tcPr>
          <w:p>
            <w:pPr>
              <w:spacing w:after="0"/>
              <w:rPr>
                <w:sz w:val="20"/>
                <w:szCs w:val="20"/>
                <w:color w:val="auto"/>
              </w:rPr>
            </w:pPr>
          </w:p>
        </w:tc>
        <w:tc>
          <w:tcPr>
            <w:tcW w:w="320" w:type="dxa"/>
            <w:vAlign w:val="bottom"/>
            <w:tcBorders>
              <w:top w:val="single" w:sz="8" w:color="auto"/>
            </w:tcBorders>
            <w:shd w:val="clear" w:color="auto" w:fill="EAEAEA"/>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296,745</w:t>
            </w:r>
          </w:p>
        </w:tc>
        <w:tc>
          <w:tcPr>
            <w:tcW w:w="80" w:type="dxa"/>
            <w:vAlign w:val="bottom"/>
            <w:tcBorders>
              <w:top w:val="single" w:sz="8" w:color="EAEAEA"/>
            </w:tcBorders>
            <w:shd w:val="clear" w:color="auto" w:fill="EAEAEA"/>
          </w:tcPr>
          <w:p>
            <w:pPr>
              <w:spacing w:after="0"/>
              <w:rPr>
                <w:sz w:val="20"/>
                <w:szCs w:val="20"/>
                <w:color w:val="auto"/>
              </w:rPr>
            </w:pPr>
          </w:p>
        </w:tc>
        <w:tc>
          <w:tcPr>
            <w:tcW w:w="240" w:type="dxa"/>
            <w:vAlign w:val="bottom"/>
            <w:tcBorders>
              <w:top w:val="single" w:sz="8" w:color="EAEAEA"/>
            </w:tcBorders>
            <w:shd w:val="clear" w:color="auto" w:fill="EAEAEA"/>
          </w:tcPr>
          <w:p>
            <w:pPr>
              <w:spacing w:after="0"/>
              <w:rPr>
                <w:sz w:val="20"/>
                <w:szCs w:val="20"/>
                <w:color w:val="auto"/>
              </w:rPr>
            </w:pPr>
          </w:p>
        </w:tc>
        <w:tc>
          <w:tcPr>
            <w:tcW w:w="120" w:type="dxa"/>
            <w:vAlign w:val="bottom"/>
            <w:tcBorders>
              <w:top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top w:val="single" w:sz="8" w:color="auto"/>
            </w:tcBorders>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23</w:t>
            </w:r>
          </w:p>
        </w:tc>
        <w:tc>
          <w:tcPr>
            <w:tcW w:w="80" w:type="dxa"/>
            <w:vAlign w:val="bottom"/>
            <w:tcBorders>
              <w:top w:val="single" w:sz="8" w:color="EAEAEA"/>
            </w:tcBorders>
            <w:shd w:val="clear" w:color="auto" w:fill="EAEAEA"/>
          </w:tcPr>
          <w:p>
            <w:pPr>
              <w:spacing w:after="0"/>
              <w:rPr>
                <w:sz w:val="20"/>
                <w:szCs w:val="20"/>
                <w:color w:val="auto"/>
              </w:rPr>
            </w:pPr>
          </w:p>
        </w:tc>
      </w:tr>
      <w:tr>
        <w:trPr>
          <w:trHeight w:val="244"/>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Present value discount/interest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(124,159)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r>
      <w:tr>
        <w:trPr>
          <w:trHeight w:val="239"/>
        </w:trPr>
        <w:tc>
          <w:tcPr>
            <w:tcW w:w="6320" w:type="dxa"/>
            <w:vAlign w:val="bottom"/>
            <w:tcBorders>
              <w:top w:val="single" w:sz="8" w:color="EAEAEA"/>
            </w:tcBorders>
            <w:shd w:val="clear" w:color="auto" w:fill="EAEAEA"/>
          </w:tcPr>
          <w:p>
            <w:pPr>
              <w:spacing w:after="0"/>
              <w:rPr>
                <w:sz w:val="20"/>
                <w:szCs w:val="20"/>
                <w:color w:val="auto"/>
              </w:rPr>
            </w:pPr>
            <w:r>
              <w:rPr>
                <w:rFonts w:ascii="Times New Roman" w:cs="Times New Roman" w:eastAsia="Times New Roman" w:hAnsi="Times New Roman"/>
                <w:sz w:val="20"/>
                <w:szCs w:val="20"/>
                <w:color w:val="auto"/>
              </w:rPr>
              <w:t>Present value</w:t>
            </w:r>
          </w:p>
        </w:tc>
        <w:tc>
          <w:tcPr>
            <w:tcW w:w="20" w:type="dxa"/>
            <w:vAlign w:val="bottom"/>
            <w:tcBorders>
              <w:top w:val="single" w:sz="8" w:color="EAEAEA"/>
            </w:tcBorders>
            <w:shd w:val="clear" w:color="auto" w:fill="EAEAEA"/>
          </w:tcPr>
          <w:p>
            <w:pPr>
              <w:spacing w:after="0"/>
              <w:rPr>
                <w:sz w:val="20"/>
                <w:szCs w:val="20"/>
                <w:color w:val="auto"/>
              </w:rPr>
            </w:pPr>
          </w:p>
        </w:tc>
        <w:tc>
          <w:tcPr>
            <w:tcW w:w="320" w:type="dxa"/>
            <w:vAlign w:val="bottom"/>
            <w:tcBorders>
              <w:top w:val="single" w:sz="8" w:color="auto"/>
            </w:tcBorders>
            <w:shd w:val="clear" w:color="auto" w:fill="EAEAEA"/>
          </w:tcPr>
          <w:p>
            <w:pPr>
              <w:spacing w:after="0"/>
              <w:rPr>
                <w:sz w:val="20"/>
                <w:szCs w:val="20"/>
                <w:color w:val="auto"/>
              </w:rPr>
            </w:pPr>
          </w:p>
        </w:tc>
        <w:tc>
          <w:tcPr>
            <w:tcW w:w="980" w:type="dxa"/>
            <w:vAlign w:val="bottom"/>
            <w:tcBorders>
              <w:top w:val="single" w:sz="8" w:color="auto"/>
            </w:tcBorders>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172,586</w:t>
            </w:r>
          </w:p>
        </w:tc>
        <w:tc>
          <w:tcPr>
            <w:tcW w:w="80" w:type="dxa"/>
            <w:vAlign w:val="bottom"/>
            <w:tcBorders>
              <w:top w:val="single" w:sz="8" w:color="EAEAEA"/>
            </w:tcBorders>
            <w:shd w:val="clear" w:color="auto" w:fill="EAEAEA"/>
          </w:tcPr>
          <w:p>
            <w:pPr>
              <w:spacing w:after="0"/>
              <w:rPr>
                <w:sz w:val="20"/>
                <w:szCs w:val="20"/>
                <w:color w:val="auto"/>
              </w:rPr>
            </w:pPr>
          </w:p>
        </w:tc>
        <w:tc>
          <w:tcPr>
            <w:tcW w:w="240" w:type="dxa"/>
            <w:vAlign w:val="bottom"/>
            <w:tcBorders>
              <w:top w:val="single" w:sz="8" w:color="EAEAEA"/>
            </w:tcBorders>
            <w:shd w:val="clear" w:color="auto" w:fill="EAEAEA"/>
          </w:tcPr>
          <w:p>
            <w:pPr>
              <w:spacing w:after="0"/>
              <w:rPr>
                <w:sz w:val="20"/>
                <w:szCs w:val="20"/>
                <w:color w:val="auto"/>
              </w:rPr>
            </w:pPr>
          </w:p>
        </w:tc>
        <w:tc>
          <w:tcPr>
            <w:tcW w:w="120" w:type="dxa"/>
            <w:vAlign w:val="bottom"/>
            <w:tcBorders>
              <w:top w:val="single" w:sz="8" w:color="auto"/>
            </w:tcBorders>
            <w:shd w:val="clear" w:color="auto" w:fill="EAEAEA"/>
          </w:tcPr>
          <w:p>
            <w:pPr>
              <w:spacing w:after="0"/>
              <w:rPr>
                <w:sz w:val="20"/>
                <w:szCs w:val="20"/>
                <w:color w:val="auto"/>
              </w:rPr>
            </w:pPr>
          </w:p>
        </w:tc>
        <w:tc>
          <w:tcPr>
            <w:tcW w:w="1200" w:type="dxa"/>
            <w:vAlign w:val="bottom"/>
            <w:tcBorders>
              <w:top w:val="single" w:sz="8" w:color="auto"/>
            </w:tcBorders>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21</w:t>
            </w:r>
          </w:p>
        </w:tc>
        <w:tc>
          <w:tcPr>
            <w:tcW w:w="80" w:type="dxa"/>
            <w:vAlign w:val="bottom"/>
            <w:tcBorders>
              <w:top w:val="single" w:sz="8" w:color="EAEAEA"/>
            </w:tcBorders>
            <w:shd w:val="clear" w:color="auto" w:fill="EAEAEA"/>
          </w:tcPr>
          <w:p>
            <w:pPr>
              <w:spacing w:after="0"/>
              <w:rPr>
                <w:sz w:val="20"/>
                <w:szCs w:val="20"/>
                <w:color w:val="auto"/>
              </w:rPr>
            </w:pPr>
          </w:p>
        </w:tc>
      </w:tr>
      <w:tr>
        <w:trPr>
          <w:trHeight w:val="244"/>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liabilities, current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6,707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w:t>
            </w:r>
          </w:p>
        </w:tc>
        <w:tc>
          <w:tcPr>
            <w:tcW w:w="80" w:type="dxa"/>
            <w:vAlign w:val="bottom"/>
          </w:tcPr>
          <w:p>
            <w:pPr>
              <w:spacing w:after="0"/>
              <w:rPr>
                <w:sz w:val="21"/>
                <w:szCs w:val="21"/>
                <w:color w:val="auto"/>
              </w:rPr>
            </w:pPr>
          </w:p>
        </w:tc>
      </w:tr>
      <w:tr>
        <w:trPr>
          <w:trHeight w:val="264"/>
        </w:trPr>
        <w:tc>
          <w:tcPr>
            <w:tcW w:w="6320" w:type="dxa"/>
            <w:vAlign w:val="bottom"/>
            <w:tcBorders>
              <w:bottom w:val="single" w:sz="8" w:color="EAEAEA"/>
            </w:tcBorders>
            <w:shd w:val="clear" w:color="auto" w:fill="EAEAEA"/>
          </w:tcPr>
          <w:p>
            <w:pPr>
              <w:spacing w:after="0"/>
              <w:rPr>
                <w:sz w:val="20"/>
                <w:szCs w:val="20"/>
                <w:color w:val="auto"/>
              </w:rPr>
            </w:pPr>
            <w:r>
              <w:rPr>
                <w:rFonts w:ascii="Times New Roman" w:cs="Times New Roman" w:eastAsia="Times New Roman" w:hAnsi="Times New Roman"/>
                <w:sz w:val="20"/>
                <w:szCs w:val="20"/>
                <w:color w:val="auto"/>
              </w:rPr>
              <w:t>Lease liabilities, net of current</w:t>
            </w:r>
          </w:p>
        </w:tc>
        <w:tc>
          <w:tcPr>
            <w:tcW w:w="20" w:type="dxa"/>
            <w:vAlign w:val="bottom"/>
            <w:tcBorders>
              <w:bottom w:val="single" w:sz="8" w:color="EAEAEA"/>
            </w:tcBorders>
            <w:shd w:val="clear" w:color="auto" w:fill="EAEAEA"/>
          </w:tcPr>
          <w:p>
            <w:pPr>
              <w:spacing w:after="0"/>
              <w:rPr>
                <w:sz w:val="22"/>
                <w:szCs w:val="22"/>
                <w:color w:val="auto"/>
              </w:rPr>
            </w:pPr>
          </w:p>
        </w:tc>
        <w:tc>
          <w:tcPr>
            <w:tcW w:w="320" w:type="dxa"/>
            <w:vAlign w:val="bottom"/>
            <w:tcBorders>
              <w:bottom w:val="single" w:sz="8" w:color="auto"/>
            </w:tcBorders>
            <w:shd w:val="clear" w:color="auto" w:fill="EAEAEA"/>
          </w:tcPr>
          <w:p>
            <w:pPr>
              <w:spacing w:after="0"/>
              <w:rPr>
                <w:sz w:val="22"/>
                <w:szCs w:val="22"/>
                <w:color w:val="auto"/>
              </w:rPr>
            </w:pPr>
          </w:p>
        </w:tc>
        <w:tc>
          <w:tcPr>
            <w:tcW w:w="980" w:type="dxa"/>
            <w:vAlign w:val="bottom"/>
            <w:tcBorders>
              <w:bottom w:val="single" w:sz="8" w:color="auto"/>
            </w:tcBorders>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165,879</w:t>
            </w:r>
          </w:p>
        </w:tc>
        <w:tc>
          <w:tcPr>
            <w:tcW w:w="80" w:type="dxa"/>
            <w:vAlign w:val="bottom"/>
            <w:tcBorders>
              <w:bottom w:val="single" w:sz="8" w:color="EAEAEA"/>
            </w:tcBorders>
            <w:shd w:val="clear" w:color="auto" w:fill="EAEAEA"/>
          </w:tcPr>
          <w:p>
            <w:pPr>
              <w:spacing w:after="0"/>
              <w:rPr>
                <w:sz w:val="22"/>
                <w:szCs w:val="22"/>
                <w:color w:val="auto"/>
              </w:rPr>
            </w:pPr>
          </w:p>
        </w:tc>
        <w:tc>
          <w:tcPr>
            <w:tcW w:w="240" w:type="dxa"/>
            <w:vAlign w:val="bottom"/>
            <w:tcBorders>
              <w:bottom w:val="single" w:sz="8" w:color="EAEAEA"/>
            </w:tcBorders>
            <w:shd w:val="clear" w:color="auto" w:fill="EAEAEA"/>
          </w:tcPr>
          <w:p>
            <w:pPr>
              <w:spacing w:after="0"/>
              <w:rPr>
                <w:sz w:val="22"/>
                <w:szCs w:val="22"/>
                <w:color w:val="auto"/>
              </w:rPr>
            </w:pPr>
          </w:p>
        </w:tc>
        <w:tc>
          <w:tcPr>
            <w:tcW w:w="120" w:type="dxa"/>
            <w:vAlign w:val="bottom"/>
            <w:tcBorders>
              <w:bottom w:val="single" w:sz="8" w:color="auto"/>
            </w:tcBorders>
            <w:shd w:val="clear" w:color="auto" w:fill="EAEAEA"/>
          </w:tcPr>
          <w:p>
            <w:pPr>
              <w:spacing w:after="0"/>
              <w:rPr>
                <w:sz w:val="22"/>
                <w:szCs w:val="22"/>
                <w:color w:val="auto"/>
              </w:rPr>
            </w:pPr>
          </w:p>
        </w:tc>
        <w:tc>
          <w:tcPr>
            <w:tcW w:w="1200" w:type="dxa"/>
            <w:vAlign w:val="bottom"/>
            <w:tcBorders>
              <w:bottom w:val="single" w:sz="8" w:color="auto"/>
            </w:tcBorders>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14</w:t>
            </w:r>
          </w:p>
        </w:tc>
        <w:tc>
          <w:tcPr>
            <w:tcW w:w="80" w:type="dxa"/>
            <w:vAlign w:val="bottom"/>
            <w:tcBorders>
              <w:bottom w:val="single" w:sz="8" w:color="EAEAEA"/>
            </w:tcBorders>
            <w:shd w:val="clear" w:color="auto" w:fill="EAEAEA"/>
          </w:tcPr>
          <w:p>
            <w:pPr>
              <w:spacing w:after="0"/>
              <w:rPr>
                <w:sz w:val="22"/>
                <w:szCs w:val="22"/>
                <w:color w:val="auto"/>
              </w:rPr>
            </w:pPr>
          </w:p>
        </w:tc>
      </w:tr>
      <w:tr>
        <w:trPr>
          <w:trHeight w:val="219"/>
        </w:trPr>
        <w:tc>
          <w:tcPr>
            <w:tcW w:w="632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Total operating lease liability</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172,586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22</w:t>
            </w:r>
          </w:p>
        </w:tc>
        <w:tc>
          <w:tcPr>
            <w:tcW w:w="80" w:type="dxa"/>
            <w:vAlign w:val="bottom"/>
          </w:tcPr>
          <w:p>
            <w:pPr>
              <w:spacing w:after="0"/>
              <w:rPr>
                <w:sz w:val="19"/>
                <w:szCs w:val="19"/>
                <w:color w:val="auto"/>
              </w:rPr>
            </w:pPr>
          </w:p>
        </w:tc>
      </w:tr>
    </w:tbl>
    <w:p>
      <w:pPr>
        <w:spacing w:after="0" w:line="211" w:lineRule="exact"/>
        <w:rPr>
          <w:sz w:val="20"/>
          <w:szCs w:val="20"/>
          <w:color w:val="auto"/>
        </w:rPr>
      </w:pPr>
    </w:p>
    <w:p>
      <w:pPr>
        <w:ind w:right="260" w:firstLine="490"/>
        <w:spacing w:after="0" w:line="252" w:lineRule="auto"/>
        <w:rPr>
          <w:sz w:val="20"/>
          <w:szCs w:val="20"/>
          <w:color w:val="auto"/>
        </w:rPr>
      </w:pPr>
      <w:r>
        <w:rPr>
          <w:rFonts w:ascii="Times New Roman" w:cs="Times New Roman" w:eastAsia="Times New Roman" w:hAnsi="Times New Roman"/>
          <w:sz w:val="20"/>
          <w:szCs w:val="20"/>
          <w:color w:val="auto"/>
        </w:rPr>
        <w:t>As of December 31, 2025, the Company had additional operating leases related to new restaurants, which the Company has not yet taken possession. These additional leases will total $38.6 million in future lease payment commitments. These operating leases are expected to commence in fiscal year 2026 and have lease terms, including option periods, of 20 to 25 years.</w:t>
      </w:r>
    </w:p>
    <w:p>
      <w:pPr>
        <w:spacing w:after="0" w:line="194"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auto"/>
        </w:rPr>
        <w:t>The Company is obligated under finance leases covering certain property and equipment that expire at various dates during the next year. On December 31, 2025 and December 31, 2024 the gross amounts of property and equipment and related accumulated depreciation and amortization recorded under finance leases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39"/>
        </w:trPr>
        <w:tc>
          <w:tcPr>
            <w:tcW w:w="6340" w:type="dxa"/>
            <w:vAlign w:val="bottom"/>
            <w:tcBorders>
              <w:top w:val="single" w:sz="8" w:color="EAEAEA"/>
            </w:tcBorders>
            <w:shd w:val="clear" w:color="auto" w:fill="EAEAEA"/>
          </w:tcPr>
          <w:p>
            <w:pPr>
              <w:spacing w:after="0"/>
              <w:rPr>
                <w:sz w:val="20"/>
                <w:szCs w:val="20"/>
                <w:color w:val="auto"/>
              </w:rPr>
            </w:pPr>
            <w:r>
              <w:rPr>
                <w:rFonts w:ascii="Times New Roman" w:cs="Times New Roman" w:eastAsia="Times New Roman" w:hAnsi="Times New Roman"/>
                <w:sz w:val="20"/>
                <w:szCs w:val="20"/>
                <w:color w:val="auto"/>
              </w:rPr>
              <w:t>Property and equipment, finance leases</w:t>
            </w:r>
          </w:p>
        </w:tc>
        <w:tc>
          <w:tcPr>
            <w:tcW w:w="620" w:type="dxa"/>
            <w:vAlign w:val="bottom"/>
            <w:tcBorders>
              <w:top w:val="single" w:sz="8" w:color="auto"/>
            </w:tcBorders>
            <w:shd w:val="clear" w:color="auto" w:fill="EAEAEA"/>
          </w:tcPr>
          <w:p>
            <w:pPr>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top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240" w:type="dxa"/>
            <w:vAlign w:val="bottom"/>
            <w:tcBorders>
              <w:top w:val="single" w:sz="8" w:color="EAEAEA"/>
            </w:tcBorders>
            <w:shd w:val="clear" w:color="auto" w:fill="EAEAEA"/>
          </w:tcPr>
          <w:p>
            <w:pPr>
              <w:spacing w:after="0"/>
              <w:rPr>
                <w:sz w:val="20"/>
                <w:szCs w:val="20"/>
                <w:color w:val="auto"/>
              </w:rPr>
            </w:pPr>
          </w:p>
        </w:tc>
        <w:tc>
          <w:tcPr>
            <w:tcW w:w="520" w:type="dxa"/>
            <w:vAlign w:val="bottom"/>
            <w:tcBorders>
              <w:top w:val="single" w:sz="8" w:color="auto"/>
            </w:tcBorders>
            <w:shd w:val="clear" w:color="auto" w:fill="EAEAEA"/>
          </w:tcPr>
          <w:p>
            <w:pPr>
              <w:spacing w:after="0"/>
              <w:rPr>
                <w:sz w:val="20"/>
                <w:szCs w:val="20"/>
                <w:color w:val="auto"/>
              </w:rPr>
            </w:pPr>
          </w:p>
        </w:tc>
        <w:tc>
          <w:tcPr>
            <w:tcW w:w="820" w:type="dxa"/>
            <w:vAlign w:val="bottom"/>
            <w:tcBorders>
              <w:top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447</w:t>
            </w:r>
          </w:p>
        </w:tc>
        <w:tc>
          <w:tcPr>
            <w:tcW w:w="80" w:type="dxa"/>
            <w:vAlign w:val="bottom"/>
            <w:tcBorders>
              <w:top w:val="single" w:sz="8" w:color="EAEAEA"/>
            </w:tcBorders>
            <w:shd w:val="clear" w:color="auto" w:fill="EAEAEA"/>
          </w:tcPr>
          <w:p>
            <w:pPr>
              <w:spacing w:after="0"/>
              <w:rPr>
                <w:sz w:val="20"/>
                <w:szCs w:val="20"/>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Less accumulated depreciation and amortization, finance leases</w:t>
            </w:r>
          </w:p>
        </w:tc>
        <w:tc>
          <w:tcPr>
            <w:tcW w:w="6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w:t>
            </w:r>
          </w:p>
        </w:tc>
        <w:tc>
          <w:tcPr>
            <w:tcW w:w="5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w:t>
            </w:r>
          </w:p>
        </w:tc>
        <w:tc>
          <w:tcPr>
            <w:tcW w:w="80" w:type="dxa"/>
            <w:vAlign w:val="bottom"/>
          </w:tcPr>
          <w:p>
            <w:pPr>
              <w:spacing w:after="0"/>
              <w:rPr>
                <w:sz w:val="21"/>
                <w:szCs w:val="21"/>
                <w:color w:val="auto"/>
              </w:rPr>
            </w:pPr>
          </w:p>
        </w:tc>
      </w:tr>
      <w:tr>
        <w:trPr>
          <w:trHeight w:val="239"/>
        </w:trPr>
        <w:tc>
          <w:tcPr>
            <w:tcW w:w="6340" w:type="dxa"/>
            <w:vAlign w:val="bottom"/>
            <w:tcBorders>
              <w:top w:val="single" w:sz="8" w:color="EAEAEA"/>
              <w:bottom w:val="single" w:sz="8" w:color="EAEAEA"/>
            </w:tcBorders>
            <w:shd w:val="clear" w:color="auto" w:fill="EAEAEA"/>
          </w:tcPr>
          <w:p>
            <w:pPr>
              <w:spacing w:after="0"/>
              <w:rPr>
                <w:sz w:val="20"/>
                <w:szCs w:val="20"/>
                <w:color w:val="auto"/>
              </w:rPr>
            </w:pPr>
            <w:r>
              <w:rPr>
                <w:rFonts w:ascii="Times New Roman" w:cs="Times New Roman" w:eastAsia="Times New Roman" w:hAnsi="Times New Roman"/>
                <w:sz w:val="20"/>
                <w:szCs w:val="20"/>
                <w:color w:val="auto"/>
              </w:rPr>
              <w:t>Property and equipment, net finance leases</w:t>
            </w:r>
          </w:p>
        </w:tc>
        <w:tc>
          <w:tcPr>
            <w:tcW w:w="620" w:type="dxa"/>
            <w:vAlign w:val="bottom"/>
            <w:tcBorders>
              <w:top w:val="single" w:sz="8" w:color="auto"/>
              <w:bottom w:val="single" w:sz="8" w:color="auto"/>
            </w:tcBorders>
            <w:shd w:val="clear" w:color="auto" w:fill="EAEAEA"/>
          </w:tcPr>
          <w:p>
            <w:pPr>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240" w:type="dxa"/>
            <w:vAlign w:val="bottom"/>
            <w:tcBorders>
              <w:top w:val="single" w:sz="8" w:color="EAEAEA"/>
              <w:bottom w:val="single" w:sz="8" w:color="EAEAEA"/>
            </w:tcBorders>
            <w:shd w:val="clear" w:color="auto" w:fill="EAEAEA"/>
          </w:tcPr>
          <w:p>
            <w:pPr>
              <w:spacing w:after="0"/>
              <w:rPr>
                <w:sz w:val="20"/>
                <w:szCs w:val="20"/>
                <w:color w:val="auto"/>
              </w:rPr>
            </w:pPr>
          </w:p>
        </w:tc>
        <w:tc>
          <w:tcPr>
            <w:tcW w:w="520" w:type="dxa"/>
            <w:vAlign w:val="bottom"/>
            <w:tcBorders>
              <w:top w:val="single" w:sz="8" w:color="auto"/>
              <w:bottom w:val="single" w:sz="8" w:color="auto"/>
            </w:tcBorders>
            <w:shd w:val="clear" w:color="auto" w:fill="EAEAEA"/>
          </w:tcPr>
          <w:p>
            <w:pPr>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Borders>
              <w:top w:val="single" w:sz="8" w:color="EAEAEA"/>
              <w:bottom w:val="single" w:sz="8" w:color="EAEAEA"/>
            </w:tcBorders>
            <w:shd w:val="clear" w:color="auto" w:fill="EAEAEA"/>
          </w:tcPr>
          <w:p>
            <w:pPr>
              <w:spacing w:after="0"/>
              <w:rPr>
                <w:sz w:val="20"/>
                <w:szCs w:val="20"/>
                <w:color w:val="auto"/>
              </w:rPr>
            </w:pPr>
          </w:p>
        </w:tc>
      </w:tr>
    </w:tbl>
    <w:p>
      <w:pPr>
        <w:spacing w:after="0" w:line="231" w:lineRule="exact"/>
        <w:rPr>
          <w:sz w:val="20"/>
          <w:szCs w:val="20"/>
          <w:color w:val="auto"/>
        </w:rPr>
      </w:pPr>
    </w:p>
    <w:p>
      <w:pPr>
        <w:ind w:right="560" w:firstLine="490"/>
        <w:spacing w:after="0" w:line="277" w:lineRule="auto"/>
        <w:rPr>
          <w:sz w:val="20"/>
          <w:szCs w:val="20"/>
          <w:color w:val="auto"/>
        </w:rPr>
      </w:pPr>
      <w:r>
        <w:rPr>
          <w:rFonts w:ascii="Times New Roman" w:cs="Times New Roman" w:eastAsia="Times New Roman" w:hAnsi="Times New Roman"/>
          <w:sz w:val="20"/>
          <w:szCs w:val="20"/>
          <w:color w:val="auto"/>
        </w:rPr>
        <w:t>Amortization of assets held under finance leases is included with depreciation expense in the consolidated statements of operations.</w:t>
      </w:r>
    </w:p>
    <w:p>
      <w:pPr>
        <w:spacing w:after="0" w:line="285" w:lineRule="exact"/>
        <w:rPr>
          <w:sz w:val="20"/>
          <w:szCs w:val="20"/>
          <w:color w:val="auto"/>
        </w:rPr>
      </w:pPr>
    </w:p>
    <w:p>
      <w:pPr>
        <w:ind w:left="480" w:hanging="480"/>
        <w:spacing w:after="0"/>
        <w:tabs>
          <w:tab w:leader="none" w:pos="48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w:t>
      </w:r>
    </w:p>
    <w:p>
      <w:pPr>
        <w:spacing w:after="0" w:line="124" w:lineRule="exact"/>
        <w:rPr>
          <w:rFonts w:ascii="Times New Roman" w:cs="Times New Roman" w:eastAsia="Times New Roman" w:hAnsi="Times New Roman"/>
          <w:sz w:val="20"/>
          <w:szCs w:val="20"/>
          <w:b w:val="1"/>
          <w:bCs w:val="1"/>
          <w:color w:val="auto"/>
        </w:rPr>
      </w:pPr>
    </w:p>
    <w:p>
      <w:pPr>
        <w:ind w:left="980" w:hanging="490"/>
        <w:spacing w:after="0"/>
        <w:tabs>
          <w:tab w:leader="none" w:pos="980" w:val="left"/>
        </w:tabs>
        <w:numPr>
          <w:ilvl w:val="1"/>
          <w:numId w:val="55"/>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Commitments</w:t>
      </w:r>
    </w:p>
    <w:p>
      <w:pPr>
        <w:spacing w:after="0" w:line="120"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auto"/>
        </w:rPr>
        <w:t>On November 23, 2016, pursuant to the U.S. government’s Immigrant Investor Program, commonly known as the EB-5 program (the “EB-5 Program”), Gen Restaurant Investment, LLC entered into an operating agreement with an investor (the “EB-5 Investor”). Under the terms and conditions of the EB- 5 program, the Company is subject to certain job creation requirements.</w:t>
      </w:r>
    </w:p>
    <w:p>
      <w:pPr>
        <w:sectPr>
          <w:pgSz w:w="12240" w:h="15840" w:orient="portrait"/>
          <w:cols w:equalWidth="0" w:num="1">
            <w:col w:w="9540"/>
          </w:cols>
          <w:pgMar w:left="1260" w:top="224" w:right="1440" w:bottom="6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292929"/>
        </w:rPr>
        <w:t>F-22</w:t>
      </w:r>
    </w:p>
    <w:p>
      <w:pPr>
        <w:sectPr>
          <w:pgSz w:w="12240" w:h="15840" w:orient="portrait"/>
          <w:cols w:equalWidth="0" w:num="1">
            <w:col w:w="9540"/>
          </w:cols>
          <w:pgMar w:left="1260" w:top="224" w:right="1440" w:bottom="67" w:gutter="0" w:footer="0" w:header="0"/>
          <w:type w:val="continuous"/>
        </w:sectPr>
      </w:pPr>
    </w:p>
    <w:bookmarkStart w:id="88" w:name="page89"/>
    <w:bookmarkEnd w:id="88"/>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GEN RESTAURANT GROUP, INC.</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Notes to Consolidated Financial Statements</w:t>
      </w: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December 31, 2025 and 2024</w:t>
      </w:r>
    </w:p>
    <w:p>
      <w:pPr>
        <w:spacing w:after="0" w:line="295" w:lineRule="exact"/>
        <w:rPr>
          <w:sz w:val="20"/>
          <w:szCs w:val="20"/>
          <w:color w:val="auto"/>
        </w:rPr>
      </w:pPr>
    </w:p>
    <w:p>
      <w:pPr>
        <w:ind w:right="200" w:firstLine="490"/>
        <w:spacing w:after="0" w:line="246" w:lineRule="auto"/>
        <w:rPr>
          <w:sz w:val="20"/>
          <w:szCs w:val="20"/>
          <w:color w:val="auto"/>
        </w:rPr>
      </w:pPr>
      <w:r>
        <w:rPr>
          <w:rFonts w:ascii="Times New Roman" w:cs="Times New Roman" w:eastAsia="Times New Roman" w:hAnsi="Times New Roman"/>
          <w:sz w:val="20"/>
          <w:szCs w:val="20"/>
          <w:color w:val="auto"/>
        </w:rPr>
        <w:t>As part of the EB-5 Program operating agreement, Gen Restaurant Investment, LLC issued 3 units of Series II Preferred Member Interest in exchange for a 30% interest and received $1.5 million, recorded as equity. Five years from the date of issue, (the “Conversion Date”), or after approval of the l-829 petition to USCIS, the EB-5 Investor has the option to convert the Series II Units into Series I Units. If the EB-5 Investor does not exercise the conversion option, the Company may exercise its call option to purchase the EB-5 Investor’s interests for the fair market value. If approval of the preferred member's I-526 immigration application is denied, the Company is required to repurchase the preferred member's units for $1.5 million.</w:t>
      </w:r>
    </w:p>
    <w:p>
      <w:pPr>
        <w:spacing w:after="0" w:line="200" w:lineRule="exact"/>
        <w:rPr>
          <w:sz w:val="20"/>
          <w:szCs w:val="20"/>
          <w:color w:val="auto"/>
        </w:rPr>
      </w:pPr>
    </w:p>
    <w:p>
      <w:pPr>
        <w:ind w:right="860" w:firstLine="490"/>
        <w:spacing w:after="0" w:line="277" w:lineRule="auto"/>
        <w:rPr>
          <w:sz w:val="20"/>
          <w:szCs w:val="20"/>
          <w:color w:val="auto"/>
        </w:rPr>
      </w:pPr>
      <w:r>
        <w:rPr>
          <w:rFonts w:ascii="Times New Roman" w:cs="Times New Roman" w:eastAsia="Times New Roman" w:hAnsi="Times New Roman"/>
          <w:sz w:val="20"/>
          <w:szCs w:val="20"/>
          <w:color w:val="auto"/>
        </w:rPr>
        <w:t>Accordingly, this has been presented as mezzanine equity, not permanent equity, in the accompanying consolidated balance sheets.</w:t>
      </w:r>
    </w:p>
    <w:p>
      <w:pPr>
        <w:spacing w:after="0" w:line="289" w:lineRule="exact"/>
        <w:rPr>
          <w:sz w:val="20"/>
          <w:szCs w:val="20"/>
          <w:color w:val="auto"/>
        </w:rPr>
      </w:pPr>
    </w:p>
    <w:p>
      <w:pPr>
        <w:ind w:left="980" w:hanging="490"/>
        <w:spacing w:after="0"/>
        <w:tabs>
          <w:tab w:leader="none" w:pos="980" w:val="left"/>
        </w:tabs>
        <w:numPr>
          <w:ilvl w:val="0"/>
          <w:numId w:val="5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Contingencies</w:t>
      </w:r>
    </w:p>
    <w:p>
      <w:pPr>
        <w:spacing w:after="0" w:line="120" w:lineRule="exact"/>
        <w:rPr>
          <w:sz w:val="20"/>
          <w:szCs w:val="20"/>
          <w:color w:val="auto"/>
        </w:rPr>
      </w:pPr>
    </w:p>
    <w:p>
      <w:pPr>
        <w:ind w:right="440" w:firstLine="490"/>
        <w:spacing w:after="0" w:line="247" w:lineRule="auto"/>
        <w:rPr>
          <w:sz w:val="20"/>
          <w:szCs w:val="20"/>
          <w:color w:val="auto"/>
        </w:rPr>
      </w:pPr>
      <w:r>
        <w:rPr>
          <w:rFonts w:ascii="Times New Roman" w:cs="Times New Roman" w:eastAsia="Times New Roman" w:hAnsi="Times New Roman"/>
          <w:sz w:val="20"/>
          <w:szCs w:val="20"/>
          <w:color w:val="auto"/>
        </w:rPr>
        <w:t>The Company and its related entities are involved in various claims and legal actions arising in the ordinary course of business. The outcomes of these actions are not predictable but the Company does not believe that the ultimate resolution of these other actions will have a material adverse effect on its financial position, results of operations, liquidity, or capital resources. However, a significant increase in the number of these claims or an increase in amounts owing under successful claims, could materially and adversely affect its business, financial condition, results of operations or cash flows.</w:t>
      </w:r>
    </w:p>
    <w:p>
      <w:pPr>
        <w:spacing w:after="0" w:line="200" w:lineRule="exact"/>
        <w:rPr>
          <w:sz w:val="20"/>
          <w:szCs w:val="20"/>
          <w:color w:val="auto"/>
        </w:rPr>
      </w:pPr>
    </w:p>
    <w:p>
      <w:pPr>
        <w:ind w:right="460" w:firstLine="490"/>
        <w:spacing w:after="0" w:line="258" w:lineRule="auto"/>
        <w:rPr>
          <w:sz w:val="20"/>
          <w:szCs w:val="20"/>
          <w:color w:val="auto"/>
        </w:rPr>
      </w:pPr>
      <w:r>
        <w:rPr>
          <w:rFonts w:ascii="Times New Roman" w:cs="Times New Roman" w:eastAsia="Times New Roman" w:hAnsi="Times New Roman"/>
          <w:sz w:val="20"/>
          <w:szCs w:val="20"/>
          <w:color w:val="auto"/>
        </w:rPr>
        <w:t>The Company is a party to several lawsuits brought in Los Angeles County, California, by ex-employees alleging labor law violations. The Company plans to continue to defend against these claims and does not expect the outcome of these lawsuits to have a material impact on the financial statements of the Company.</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Income Taxes</w:t>
      </w:r>
    </w:p>
    <w:p>
      <w:pPr>
        <w:spacing w:after="0" w:line="124" w:lineRule="exact"/>
        <w:rPr>
          <w:sz w:val="20"/>
          <w:szCs w:val="20"/>
          <w:color w:val="auto"/>
        </w:rPr>
      </w:pPr>
    </w:p>
    <w:p>
      <w:pPr>
        <w:ind w:right="180" w:firstLine="490"/>
        <w:spacing w:after="0" w:line="246" w:lineRule="auto"/>
        <w:rPr>
          <w:sz w:val="20"/>
          <w:szCs w:val="20"/>
          <w:color w:val="auto"/>
        </w:rPr>
      </w:pPr>
      <w:r>
        <w:rPr>
          <w:rFonts w:ascii="Times New Roman" w:cs="Times New Roman" w:eastAsia="Times New Roman" w:hAnsi="Times New Roman"/>
          <w:sz w:val="20"/>
          <w:szCs w:val="20"/>
          <w:color w:val="292929"/>
        </w:rPr>
        <w:t>A</w:t>
      </w:r>
      <w:r>
        <w:rPr>
          <w:rFonts w:ascii="Times New Roman" w:cs="Times New Roman" w:eastAsia="Times New Roman" w:hAnsi="Times New Roman"/>
          <w:sz w:val="20"/>
          <w:szCs w:val="20"/>
          <w:color w:val="000000"/>
        </w:rPr>
        <w:t>s a result of the IPO and the Transactions the Company owns a portion of the common units of the Operating</w:t>
      </w:r>
      <w:r>
        <w:rPr>
          <w:rFonts w:ascii="Times New Roman" w:cs="Times New Roman" w:eastAsia="Times New Roman" w:hAnsi="Times New Roman"/>
          <w:sz w:val="20"/>
          <w:szCs w:val="20"/>
          <w:color w:val="292929"/>
        </w:rPr>
        <w:t xml:space="preserve"> </w:t>
      </w:r>
      <w:r>
        <w:rPr>
          <w:rFonts w:ascii="Times New Roman" w:cs="Times New Roman" w:eastAsia="Times New Roman" w:hAnsi="Times New Roman"/>
          <w:sz w:val="20"/>
          <w:szCs w:val="20"/>
          <w:color w:val="000000"/>
        </w:rPr>
        <w:t>Company, which is treated as a partnership for U.S. federal, and most applicable state and local income tax purposes. As a partnership, the Operating Company is generally not subject to U.S. federal and certain state and local income taxes. Any taxable income or loss generated by the Operating Company is passed through to and included in the taxable income or loss of its members in accordance with the terms of the Operating Agreement. The Company is subject to U.S. federal, state and local income taxes based on its share of the Operating Company’s pass-through taxable income.</w:t>
      </w:r>
    </w:p>
    <w:p>
      <w:pPr>
        <w:spacing w:after="0" w:line="200" w:lineRule="exact"/>
        <w:rPr>
          <w:sz w:val="20"/>
          <w:szCs w:val="20"/>
          <w:color w:val="auto"/>
        </w:rPr>
      </w:pPr>
    </w:p>
    <w:p>
      <w:pPr>
        <w:ind w:right="720" w:firstLine="490"/>
        <w:spacing w:after="0" w:line="277" w:lineRule="auto"/>
        <w:rPr>
          <w:sz w:val="20"/>
          <w:szCs w:val="20"/>
          <w:color w:val="auto"/>
        </w:rPr>
      </w:pPr>
      <w:r>
        <w:rPr>
          <w:rFonts w:ascii="Times New Roman" w:cs="Times New Roman" w:eastAsia="Times New Roman" w:hAnsi="Times New Roman"/>
          <w:sz w:val="20"/>
          <w:szCs w:val="20"/>
          <w:color w:val="auto"/>
        </w:rPr>
        <w:t>The effective tax rate differs from the statutory tax rate primarily due to the Operating Company’s pass-through structure for U.S. income tax purposes.</w:t>
      </w:r>
    </w:p>
    <w:p>
      <w:pPr>
        <w:spacing w:after="0" w:line="169"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auto"/>
        </w:rPr>
        <w:t>For the year ended December 31, 2025 and 2024, the Company did not have any unrecognized tax benefits as a result of tax positions taken during a prior period or during the current period. No interest or penalties have been recorded as a result of tax uncertainties.</w:t>
      </w:r>
    </w:p>
    <w:p>
      <w:pPr>
        <w:spacing w:after="0" w:line="188"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auto"/>
        </w:rPr>
        <w:t>Deferred income taxes arise from temporary differences between the tax basis of assets and liabilities and their reported amounts in the financial statements, which will result in taxable or deductible amounts in the future.</w:t>
      </w:r>
    </w:p>
    <w:p>
      <w:pPr>
        <w:spacing w:after="0" w:line="169" w:lineRule="exact"/>
        <w:rPr>
          <w:sz w:val="20"/>
          <w:szCs w:val="20"/>
          <w:color w:val="auto"/>
        </w:rPr>
      </w:pPr>
    </w:p>
    <w:p>
      <w:pPr>
        <w:ind w:right="480" w:firstLine="490"/>
        <w:spacing w:after="0" w:line="277" w:lineRule="auto"/>
        <w:rPr>
          <w:sz w:val="20"/>
          <w:szCs w:val="20"/>
          <w:color w:val="auto"/>
        </w:rPr>
      </w:pPr>
      <w:r>
        <w:rPr>
          <w:rFonts w:ascii="Times New Roman" w:cs="Times New Roman" w:eastAsia="Times New Roman" w:hAnsi="Times New Roman"/>
          <w:sz w:val="20"/>
          <w:szCs w:val="20"/>
          <w:color w:val="auto"/>
        </w:rPr>
        <w:t>The following table details the Company’s provision for income (benefit) taxes from continuing operations for the years ended December 31, 2025 and 2024:</w:t>
      </w:r>
    </w:p>
    <w:p>
      <w:pPr>
        <w:sectPr>
          <w:pgSz w:w="12240" w:h="15840" w:orient="portrait"/>
          <w:cols w:equalWidth="0" w:num="1">
            <w:col w:w="9540"/>
          </w:cols>
          <w:pgMar w:left="1260" w:top="224" w:right="1440" w:bottom="6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292929"/>
        </w:rPr>
        <w:t>F-23</w:t>
      </w:r>
    </w:p>
    <w:p>
      <w:pPr>
        <w:sectPr>
          <w:pgSz w:w="12240" w:h="15840" w:orient="portrait"/>
          <w:cols w:equalWidth="0" w:num="1">
            <w:col w:w="9540"/>
          </w:cols>
          <w:pgMar w:left="1260" w:top="224" w:right="1440" w:bottom="67" w:gutter="0" w:footer="0" w:header="0"/>
          <w:type w:val="continuous"/>
        </w:sectPr>
      </w:pPr>
    </w:p>
    <w:bookmarkStart w:id="89" w:name="page90"/>
    <w:bookmarkEnd w:id="89"/>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GEN RESTAURANT GROUP, INC.</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Notes to Consolidated Financial Statements</w:t>
      </w: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December 31, 2025 and 2024</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1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140" w:type="dxa"/>
            <w:vAlign w:val="bottom"/>
            <w:gridSpan w:val="6"/>
          </w:tcPr>
          <w:p>
            <w:pPr>
              <w:jc w:val="right"/>
              <w:ind w:right="7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39"/>
        </w:trPr>
        <w:tc>
          <w:tcPr>
            <w:tcW w:w="3940" w:type="dxa"/>
            <w:vAlign w:val="bottom"/>
            <w:vMerge w:val="continue"/>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Pre-tax earnings from continuing operations</w:t>
            </w:r>
          </w:p>
        </w:tc>
        <w:tc>
          <w:tcPr>
            <w:tcW w:w="19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Domestic</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(18,743)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940" w:type="dxa"/>
            <w:vAlign w:val="bottom"/>
            <w:shd w:val="clear" w:color="auto" w:fill="EAEAEA"/>
          </w:tcPr>
          <w:p>
            <w:pPr>
              <w:spacing w:after="0"/>
              <w:rPr>
                <w:sz w:val="21"/>
                <w:szCs w:val="21"/>
                <w:color w:val="auto"/>
              </w:rPr>
            </w:pPr>
          </w:p>
        </w:tc>
        <w:tc>
          <w:tcPr>
            <w:tcW w:w="1940" w:type="dxa"/>
            <w:vAlign w:val="bottom"/>
            <w:shd w:val="clear" w:color="auto" w:fill="EAEAEA"/>
          </w:tcPr>
          <w:p>
            <w:pPr>
              <w:ind w:left="160"/>
              <w:spacing w:after="0"/>
              <w:rPr>
                <w:sz w:val="20"/>
                <w:szCs w:val="20"/>
                <w:color w:val="auto"/>
              </w:rPr>
            </w:pPr>
            <w:r>
              <w:rPr>
                <w:rFonts w:ascii="Times New Roman" w:cs="Times New Roman" w:eastAsia="Times New Roman" w:hAnsi="Times New Roman"/>
                <w:sz w:val="20"/>
                <w:szCs w:val="20"/>
                <w:color w:val="auto"/>
              </w:rPr>
              <w:t>Foreign</w:t>
            </w:r>
          </w:p>
        </w:tc>
        <w:tc>
          <w:tcPr>
            <w:tcW w:w="340" w:type="dxa"/>
            <w:vAlign w:val="bottom"/>
            <w:shd w:val="clear" w:color="auto" w:fill="EAEAEA"/>
          </w:tcPr>
          <w:p>
            <w:pPr>
              <w:spacing w:after="0"/>
              <w:rPr>
                <w:sz w:val="21"/>
                <w:szCs w:val="21"/>
                <w:color w:val="auto"/>
              </w:rPr>
            </w:pPr>
          </w:p>
        </w:tc>
        <w:tc>
          <w:tcPr>
            <w:tcW w:w="1380" w:type="dxa"/>
            <w:vAlign w:val="bottom"/>
            <w:gridSpan w:val="2"/>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rPr>
              <w:t>(1,562)</w:t>
            </w:r>
          </w:p>
        </w:tc>
        <w:tc>
          <w:tcPr>
            <w:tcW w:w="100" w:type="dxa"/>
            <w:vAlign w:val="bottom"/>
            <w:shd w:val="clear" w:color="auto" w:fill="EAEAEA"/>
          </w:tcPr>
          <w:p>
            <w:pPr>
              <w:spacing w:after="0"/>
              <w:rPr>
                <w:sz w:val="21"/>
                <w:szCs w:val="21"/>
                <w:color w:val="auto"/>
              </w:rPr>
            </w:pPr>
          </w:p>
        </w:tc>
        <w:tc>
          <w:tcPr>
            <w:tcW w:w="340" w:type="dxa"/>
            <w:vAlign w:val="bottom"/>
            <w:shd w:val="clear" w:color="auto" w:fill="EAEAEA"/>
          </w:tcPr>
          <w:p>
            <w:pPr>
              <w:spacing w:after="0"/>
              <w:rPr>
                <w:sz w:val="21"/>
                <w:szCs w:val="21"/>
                <w:color w:val="auto"/>
              </w:rPr>
            </w:pPr>
          </w:p>
        </w:tc>
        <w:tc>
          <w:tcPr>
            <w:tcW w:w="12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9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(20,305)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4,889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8"/>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Current tax expense (benefit)</w:t>
            </w:r>
          </w:p>
        </w:tc>
        <w:tc>
          <w:tcPr>
            <w:tcW w:w="19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Federal</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(37)</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940" w:type="dxa"/>
            <w:vAlign w:val="bottom"/>
            <w:shd w:val="clear" w:color="auto" w:fill="EAEAEA"/>
          </w:tcPr>
          <w:p>
            <w:pPr>
              <w:spacing w:after="0"/>
              <w:rPr>
                <w:sz w:val="21"/>
                <w:szCs w:val="21"/>
                <w:color w:val="auto"/>
              </w:rPr>
            </w:pPr>
          </w:p>
        </w:tc>
        <w:tc>
          <w:tcPr>
            <w:tcW w:w="1940" w:type="dxa"/>
            <w:vAlign w:val="bottom"/>
            <w:shd w:val="clear" w:color="auto" w:fill="EAEAEA"/>
          </w:tcPr>
          <w:p>
            <w:pPr>
              <w:ind w:left="160"/>
              <w:spacing w:after="0"/>
              <w:rPr>
                <w:sz w:val="20"/>
                <w:szCs w:val="20"/>
                <w:color w:val="auto"/>
              </w:rPr>
            </w:pPr>
            <w:r>
              <w:rPr>
                <w:rFonts w:ascii="Times New Roman" w:cs="Times New Roman" w:eastAsia="Times New Roman" w:hAnsi="Times New Roman"/>
                <w:sz w:val="20"/>
                <w:szCs w:val="20"/>
                <w:color w:val="auto"/>
              </w:rPr>
              <w:t>State</w:t>
            </w:r>
          </w:p>
        </w:tc>
        <w:tc>
          <w:tcPr>
            <w:tcW w:w="340" w:type="dxa"/>
            <w:vAlign w:val="bottom"/>
            <w:shd w:val="clear" w:color="auto" w:fill="EAEAEA"/>
          </w:tcPr>
          <w:p>
            <w:pPr>
              <w:spacing w:after="0"/>
              <w:rPr>
                <w:sz w:val="21"/>
                <w:szCs w:val="21"/>
                <w:color w:val="auto"/>
              </w:rPr>
            </w:pPr>
          </w:p>
        </w:tc>
        <w:tc>
          <w:tcPr>
            <w:tcW w:w="12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16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340" w:type="dxa"/>
            <w:vAlign w:val="bottom"/>
            <w:shd w:val="clear" w:color="auto" w:fill="EAEAEA"/>
          </w:tcPr>
          <w:p>
            <w:pPr>
              <w:spacing w:after="0"/>
              <w:rPr>
                <w:sz w:val="21"/>
                <w:szCs w:val="21"/>
                <w:color w:val="auto"/>
              </w:rPr>
            </w:pPr>
          </w:p>
        </w:tc>
        <w:tc>
          <w:tcPr>
            <w:tcW w:w="12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40" w:type="dxa"/>
            <w:vAlign w:val="bottom"/>
            <w:tcBorders>
              <w:bottom w:val="single" w:sz="8" w:color="EAEAEA"/>
            </w:tcBorders>
          </w:tcPr>
          <w:p>
            <w:pPr>
              <w:spacing w:after="0"/>
              <w:rPr>
                <w:sz w:val="21"/>
                <w:szCs w:val="21"/>
                <w:color w:val="auto"/>
              </w:rPr>
            </w:pPr>
          </w:p>
        </w:tc>
        <w:tc>
          <w:tcPr>
            <w:tcW w:w="1940" w:type="dxa"/>
            <w:vAlign w:val="bottom"/>
            <w:tcBorders>
              <w:bottom w:val="single" w:sz="8" w:color="EAEAEA"/>
            </w:tcBorders>
          </w:tcPr>
          <w:p>
            <w:pPr>
              <w:ind w:left="160"/>
              <w:spacing w:after="0"/>
              <w:rPr>
                <w:sz w:val="20"/>
                <w:szCs w:val="20"/>
                <w:color w:val="auto"/>
              </w:rPr>
            </w:pPr>
            <w:r>
              <w:rPr>
                <w:rFonts w:ascii="Times New Roman" w:cs="Times New Roman" w:eastAsia="Times New Roman" w:hAnsi="Times New Roman"/>
                <w:sz w:val="20"/>
                <w:szCs w:val="20"/>
                <w:color w:val="auto"/>
              </w:rPr>
              <w:t>Foreign</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EAEAEA"/>
            </w:tcBorders>
          </w:tcPr>
          <w:p>
            <w:pPr>
              <w:spacing w:after="0"/>
              <w:rPr>
                <w:sz w:val="21"/>
                <w:szCs w:val="21"/>
                <w:color w:val="auto"/>
              </w:rPr>
            </w:pPr>
          </w:p>
        </w:tc>
        <w:tc>
          <w:tcPr>
            <w:tcW w:w="100" w:type="dxa"/>
            <w:vAlign w:val="bottom"/>
            <w:tcBorders>
              <w:bottom w:val="single" w:sz="8" w:color="EAEAEA"/>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AEAEA"/>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940" w:type="dxa"/>
            <w:vAlign w:val="bottom"/>
            <w:shd w:val="clear" w:color="auto" w:fill="EAEAEA"/>
          </w:tcPr>
          <w:p>
            <w:pPr>
              <w:spacing w:after="0"/>
              <w:rPr>
                <w:sz w:val="22"/>
                <w:szCs w:val="22"/>
                <w:color w:val="auto"/>
              </w:rPr>
            </w:pPr>
          </w:p>
        </w:tc>
        <w:tc>
          <w:tcPr>
            <w:tcW w:w="1940" w:type="dxa"/>
            <w:vAlign w:val="bottom"/>
            <w:shd w:val="clear" w:color="auto" w:fill="EAEAEA"/>
          </w:tcPr>
          <w:p>
            <w:pPr>
              <w:ind w:left="160"/>
              <w:spacing w:after="0"/>
              <w:rPr>
                <w:sz w:val="20"/>
                <w:szCs w:val="20"/>
                <w:color w:val="auto"/>
              </w:rPr>
            </w:pPr>
            <w:r>
              <w:rPr>
                <w:rFonts w:ascii="Times New Roman" w:cs="Times New Roman" w:eastAsia="Times New Roman" w:hAnsi="Times New Roman"/>
                <w:sz w:val="20"/>
                <w:szCs w:val="20"/>
                <w:color w:val="auto"/>
              </w:rPr>
              <w:t>Total current</w:t>
            </w:r>
          </w:p>
        </w:tc>
        <w:tc>
          <w:tcPr>
            <w:tcW w:w="340" w:type="dxa"/>
            <w:vAlign w:val="bottom"/>
            <w:tcBorders>
              <w:bottom w:val="single" w:sz="8" w:color="auto"/>
            </w:tcBorders>
            <w:shd w:val="clear" w:color="auto" w:fill="EAEAEA"/>
          </w:tcPr>
          <w:p>
            <w:pPr>
              <w:spacing w:after="0"/>
              <w:rPr>
                <w:sz w:val="22"/>
                <w:szCs w:val="22"/>
                <w:color w:val="auto"/>
              </w:rPr>
            </w:pPr>
          </w:p>
        </w:tc>
        <w:tc>
          <w:tcPr>
            <w:tcW w:w="122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60" w:type="dxa"/>
            <w:vAlign w:val="bottom"/>
            <w:shd w:val="clear" w:color="auto" w:fill="EAEAEA"/>
          </w:tcPr>
          <w:p>
            <w:pPr>
              <w:spacing w:after="0"/>
              <w:rPr>
                <w:sz w:val="22"/>
                <w:szCs w:val="22"/>
                <w:color w:val="auto"/>
              </w:rPr>
            </w:pPr>
          </w:p>
        </w:tc>
        <w:tc>
          <w:tcPr>
            <w:tcW w:w="100" w:type="dxa"/>
            <w:vAlign w:val="bottom"/>
            <w:shd w:val="clear" w:color="auto" w:fill="EAEAEA"/>
          </w:tcPr>
          <w:p>
            <w:pPr>
              <w:spacing w:after="0"/>
              <w:rPr>
                <w:sz w:val="22"/>
                <w:szCs w:val="22"/>
                <w:color w:val="auto"/>
              </w:rPr>
            </w:pPr>
          </w:p>
        </w:tc>
        <w:tc>
          <w:tcPr>
            <w:tcW w:w="340" w:type="dxa"/>
            <w:vAlign w:val="bottom"/>
            <w:tcBorders>
              <w:bottom w:val="single" w:sz="8" w:color="auto"/>
            </w:tcBorders>
            <w:shd w:val="clear" w:color="auto" w:fill="EAEAEA"/>
          </w:tcPr>
          <w:p>
            <w:pPr>
              <w:spacing w:after="0"/>
              <w:rPr>
                <w:sz w:val="22"/>
                <w:szCs w:val="22"/>
                <w:color w:val="auto"/>
              </w:rPr>
            </w:pPr>
          </w:p>
        </w:tc>
        <w:tc>
          <w:tcPr>
            <w:tcW w:w="124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80" w:type="dxa"/>
            <w:vAlign w:val="bottom"/>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9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Deferred tax expense (benefit)</w:t>
            </w:r>
          </w:p>
        </w:tc>
        <w:tc>
          <w:tcPr>
            <w:tcW w:w="1940" w:type="dxa"/>
            <w:vAlign w:val="bottom"/>
            <w:shd w:val="clear" w:color="auto" w:fill="EAEAEA"/>
          </w:tcPr>
          <w:p>
            <w:pPr>
              <w:ind w:left="160"/>
              <w:spacing w:after="0"/>
              <w:rPr>
                <w:sz w:val="20"/>
                <w:szCs w:val="20"/>
                <w:color w:val="auto"/>
              </w:rPr>
            </w:pPr>
            <w:r>
              <w:rPr>
                <w:rFonts w:ascii="Times New Roman" w:cs="Times New Roman" w:eastAsia="Times New Roman" w:hAnsi="Times New Roman"/>
                <w:sz w:val="20"/>
                <w:szCs w:val="20"/>
                <w:color w:val="auto"/>
              </w:rPr>
              <w:t>Federal</w:t>
            </w:r>
          </w:p>
        </w:tc>
        <w:tc>
          <w:tcPr>
            <w:tcW w:w="340" w:type="dxa"/>
            <w:vAlign w:val="bottom"/>
            <w:shd w:val="clear" w:color="auto" w:fill="EAEAEA"/>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gridSpan w:val="2"/>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rPr>
              <w:t>(696)</w:t>
            </w:r>
          </w:p>
        </w:tc>
        <w:tc>
          <w:tcPr>
            <w:tcW w:w="440" w:type="dxa"/>
            <w:vAlign w:val="bottom"/>
            <w:gridSpan w:val="2"/>
            <w:shd w:val="clear" w:color="auto" w:fill="EAEAEA"/>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(186)</w:t>
            </w:r>
          </w:p>
        </w:tc>
        <w:tc>
          <w:tcPr>
            <w:tcW w:w="0" w:type="dxa"/>
            <w:vAlign w:val="bottom"/>
          </w:tcPr>
          <w:p>
            <w:pPr>
              <w:spacing w:after="0"/>
              <w:rPr>
                <w:sz w:val="1"/>
                <w:szCs w:val="1"/>
                <w:color w:val="auto"/>
              </w:rPr>
            </w:pPr>
          </w:p>
        </w:tc>
      </w:tr>
      <w:tr>
        <w:trPr>
          <w:trHeight w:val="244"/>
        </w:trPr>
        <w:tc>
          <w:tcPr>
            <w:tcW w:w="3940" w:type="dxa"/>
            <w:vAlign w:val="bottom"/>
          </w:tcPr>
          <w:p>
            <w:pPr>
              <w:spacing w:after="0"/>
              <w:rPr>
                <w:sz w:val="21"/>
                <w:szCs w:val="21"/>
                <w:color w:val="auto"/>
              </w:rPr>
            </w:pPr>
          </w:p>
        </w:tc>
        <w:tc>
          <w:tcPr>
            <w:tcW w:w="19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State</w:t>
            </w:r>
          </w:p>
        </w:tc>
        <w:tc>
          <w:tcPr>
            <w:tcW w:w="340" w:type="dxa"/>
            <w:vAlign w:val="bottom"/>
          </w:tcPr>
          <w:p>
            <w:pPr>
              <w:spacing w:after="0"/>
              <w:rPr>
                <w:sz w:val="21"/>
                <w:szCs w:val="21"/>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40" w:type="dxa"/>
            <w:vAlign w:val="bottom"/>
            <w:shd w:val="clear" w:color="auto" w:fill="EAEAEA"/>
          </w:tcPr>
          <w:p>
            <w:pPr>
              <w:spacing w:after="0"/>
              <w:rPr>
                <w:sz w:val="21"/>
                <w:szCs w:val="21"/>
                <w:color w:val="auto"/>
              </w:rPr>
            </w:pPr>
          </w:p>
        </w:tc>
        <w:tc>
          <w:tcPr>
            <w:tcW w:w="1940" w:type="dxa"/>
            <w:vAlign w:val="bottom"/>
            <w:shd w:val="clear" w:color="auto" w:fill="EAEAEA"/>
          </w:tcPr>
          <w:p>
            <w:pPr>
              <w:ind w:left="160"/>
              <w:spacing w:after="0"/>
              <w:rPr>
                <w:sz w:val="20"/>
                <w:szCs w:val="20"/>
                <w:color w:val="auto"/>
              </w:rPr>
            </w:pPr>
            <w:r>
              <w:rPr>
                <w:rFonts w:ascii="Times New Roman" w:cs="Times New Roman" w:eastAsia="Times New Roman" w:hAnsi="Times New Roman"/>
                <w:sz w:val="20"/>
                <w:szCs w:val="20"/>
                <w:color w:val="auto"/>
              </w:rPr>
              <w:t>Foreign</w:t>
            </w:r>
          </w:p>
        </w:tc>
        <w:tc>
          <w:tcPr>
            <w:tcW w:w="340" w:type="dxa"/>
            <w:vAlign w:val="bottom"/>
            <w:shd w:val="clear" w:color="auto" w:fill="EAEAEA"/>
          </w:tcPr>
          <w:p>
            <w:pPr>
              <w:spacing w:after="0"/>
              <w:rPr>
                <w:sz w:val="21"/>
                <w:szCs w:val="21"/>
                <w:color w:val="auto"/>
              </w:rPr>
            </w:pPr>
          </w:p>
        </w:tc>
        <w:tc>
          <w:tcPr>
            <w:tcW w:w="1380" w:type="dxa"/>
            <w:vAlign w:val="bottom"/>
            <w:gridSpan w:val="2"/>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rPr>
              <w:t>(25)</w:t>
            </w:r>
          </w:p>
        </w:tc>
        <w:tc>
          <w:tcPr>
            <w:tcW w:w="100" w:type="dxa"/>
            <w:vAlign w:val="bottom"/>
            <w:shd w:val="clear" w:color="auto" w:fill="EAEAEA"/>
          </w:tcPr>
          <w:p>
            <w:pPr>
              <w:spacing w:after="0"/>
              <w:rPr>
                <w:sz w:val="21"/>
                <w:szCs w:val="21"/>
                <w:color w:val="auto"/>
              </w:rPr>
            </w:pPr>
          </w:p>
        </w:tc>
        <w:tc>
          <w:tcPr>
            <w:tcW w:w="340" w:type="dxa"/>
            <w:vAlign w:val="bottom"/>
            <w:shd w:val="clear" w:color="auto" w:fill="EAEAEA"/>
          </w:tcPr>
          <w:p>
            <w:pPr>
              <w:spacing w:after="0"/>
              <w:rPr>
                <w:sz w:val="21"/>
                <w:szCs w:val="21"/>
                <w:color w:val="auto"/>
              </w:rPr>
            </w:pPr>
          </w:p>
        </w:tc>
        <w:tc>
          <w:tcPr>
            <w:tcW w:w="12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3940" w:type="dxa"/>
            <w:vAlign w:val="bottom"/>
          </w:tcPr>
          <w:p>
            <w:pPr>
              <w:spacing w:after="0"/>
              <w:rPr>
                <w:sz w:val="22"/>
                <w:szCs w:val="22"/>
                <w:color w:val="auto"/>
              </w:rPr>
            </w:pPr>
          </w:p>
        </w:tc>
        <w:tc>
          <w:tcPr>
            <w:tcW w:w="19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Total deferred</w:t>
            </w:r>
          </w:p>
        </w:tc>
        <w:tc>
          <w:tcPr>
            <w:tcW w:w="34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39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spacing w:after="0"/>
              <w:rPr>
                <w:sz w:val="19"/>
                <w:szCs w:val="19"/>
                <w:color w:val="auto"/>
              </w:rPr>
            </w:pPr>
          </w:p>
        </w:tc>
        <w:tc>
          <w:tcPr>
            <w:tcW w:w="440" w:type="dxa"/>
            <w:vAlign w:val="bottom"/>
            <w:gridSpan w:val="2"/>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40" w:type="dxa"/>
            <w:vAlign w:val="bottom"/>
            <w:tcBorders>
              <w:top w:val="single" w:sz="8" w:color="EAEAEA"/>
            </w:tcBorders>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rPr>
              <w:t>Total income tax expense (benefit)</w:t>
            </w:r>
          </w:p>
        </w:tc>
        <w:tc>
          <w:tcPr>
            <w:tcW w:w="1940" w:type="dxa"/>
            <w:vAlign w:val="bottom"/>
            <w:tcBorders>
              <w:top w:val="single" w:sz="8" w:color="EAEAEA"/>
            </w:tcBorders>
            <w:shd w:val="clear" w:color="auto" w:fill="EAEAEA"/>
          </w:tcPr>
          <w:p>
            <w:pPr>
              <w:spacing w:after="0"/>
              <w:rPr>
                <w:sz w:val="20"/>
                <w:szCs w:val="20"/>
                <w:color w:val="auto"/>
              </w:rPr>
            </w:pPr>
          </w:p>
        </w:tc>
        <w:tc>
          <w:tcPr>
            <w:tcW w:w="340" w:type="dxa"/>
            <w:vAlign w:val="bottom"/>
            <w:tcBorders>
              <w:top w:val="single" w:sz="8" w:color="auto"/>
              <w:bottom w:val="single" w:sz="8" w:color="auto"/>
            </w:tcBorders>
            <w:shd w:val="clear" w:color="auto" w:fill="EAEAEA"/>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22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b w:val="1"/>
                <w:bCs w:val="1"/>
                <w:color w:val="auto"/>
              </w:rPr>
              <w:t>(930)</w:t>
            </w:r>
          </w:p>
        </w:tc>
        <w:tc>
          <w:tcPr>
            <w:tcW w:w="160" w:type="dxa"/>
            <w:vAlign w:val="bottom"/>
            <w:tcBorders>
              <w:top w:val="single" w:sz="8" w:color="EAEAEA"/>
            </w:tcBorders>
            <w:shd w:val="clear" w:color="auto" w:fill="EAEAEA"/>
          </w:tcPr>
          <w:p>
            <w:pPr>
              <w:spacing w:after="0"/>
              <w:rPr>
                <w:sz w:val="20"/>
                <w:szCs w:val="20"/>
                <w:color w:val="auto"/>
              </w:rPr>
            </w:pPr>
          </w:p>
        </w:tc>
        <w:tc>
          <w:tcPr>
            <w:tcW w:w="100" w:type="dxa"/>
            <w:vAlign w:val="bottom"/>
            <w:tcBorders>
              <w:top w:val="single" w:sz="8" w:color="EAEAEA"/>
            </w:tcBorders>
            <w:shd w:val="clear" w:color="auto" w:fill="EAEAEA"/>
          </w:tcPr>
          <w:p>
            <w:pPr>
              <w:spacing w:after="0"/>
              <w:rPr>
                <w:sz w:val="20"/>
                <w:szCs w:val="20"/>
                <w:color w:val="auto"/>
              </w:rPr>
            </w:pPr>
          </w:p>
        </w:tc>
        <w:tc>
          <w:tcPr>
            <w:tcW w:w="340" w:type="dxa"/>
            <w:vAlign w:val="bottom"/>
            <w:tcBorders>
              <w:top w:val="single" w:sz="8" w:color="auto"/>
              <w:bottom w:val="single" w:sz="8" w:color="auto"/>
            </w:tcBorders>
            <w:shd w:val="clear" w:color="auto" w:fill="EAEAEA"/>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24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b w:val="1"/>
                <w:bCs w:val="1"/>
                <w:color w:val="auto"/>
              </w:rPr>
              <w:t>357</w:t>
            </w:r>
          </w:p>
        </w:tc>
        <w:tc>
          <w:tcPr>
            <w:tcW w:w="80" w:type="dxa"/>
            <w:vAlign w:val="bottom"/>
            <w:tcBorders>
              <w:top w:val="single" w:sz="8" w:color="EAEAEA"/>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right="620" w:firstLine="490"/>
        <w:spacing w:after="0" w:line="277" w:lineRule="auto"/>
        <w:rPr>
          <w:sz w:val="20"/>
          <w:szCs w:val="20"/>
          <w:color w:val="auto"/>
        </w:rPr>
      </w:pPr>
      <w:r>
        <w:rPr>
          <w:rFonts w:ascii="Times New Roman" w:cs="Times New Roman" w:eastAsia="Times New Roman" w:hAnsi="Times New Roman"/>
          <w:sz w:val="20"/>
          <w:szCs w:val="20"/>
          <w:color w:val="auto"/>
        </w:rPr>
        <w:t>The following table is a reconciliation of the estimated provision for income taxes at statutory rates to the provision for income taxes at the Company’s effective tax rate:</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gridSpan w:val="4"/>
          </w:tcPr>
          <w:p>
            <w:pPr>
              <w:jc w:val="center"/>
              <w:ind w:left="1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62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44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 (except percentages)</w:t>
            </w:r>
          </w:p>
        </w:tc>
        <w:tc>
          <w:tcPr>
            <w:tcW w:w="4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9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4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Tax (benefit) provision at U.S. Federal statutory rates</w:t>
            </w:r>
          </w:p>
        </w:tc>
        <w:tc>
          <w:tcPr>
            <w:tcW w:w="400" w:type="dxa"/>
            <w:vAlign w:val="bottom"/>
            <w:shd w:val="clear" w:color="auto" w:fill="EAEAEA"/>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(4,152)</w:t>
            </w:r>
          </w:p>
        </w:tc>
        <w:tc>
          <w:tcPr>
            <w:tcW w:w="100" w:type="dxa"/>
            <w:vAlign w:val="bottom"/>
            <w:shd w:val="clear" w:color="auto" w:fill="EAEAEA"/>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21.0%</w:t>
            </w:r>
          </w:p>
        </w:tc>
        <w:tc>
          <w:tcPr>
            <w:tcW w:w="0" w:type="dxa"/>
            <w:vAlign w:val="bottom"/>
          </w:tcPr>
          <w:p>
            <w:pPr>
              <w:spacing w:after="0"/>
              <w:rPr>
                <w:sz w:val="1"/>
                <w:szCs w:val="1"/>
                <w:color w:val="auto"/>
              </w:rPr>
            </w:pPr>
          </w:p>
        </w:tc>
      </w:tr>
      <w:tr>
        <w:trPr>
          <w:trHeight w:val="244"/>
        </w:trPr>
        <w:tc>
          <w:tcPr>
            <w:tcW w:w="5440" w:type="dxa"/>
            <w:vAlign w:val="bottom"/>
          </w:tcPr>
          <w:p>
            <w:pPr>
              <w:spacing w:after="0"/>
              <w:rPr>
                <w:sz w:val="20"/>
                <w:szCs w:val="20"/>
                <w:color w:val="auto"/>
              </w:rPr>
            </w:pPr>
            <w:r>
              <w:rPr>
                <w:rFonts w:ascii="Times New Roman" w:cs="Times New Roman" w:eastAsia="Times New Roman" w:hAnsi="Times New Roman"/>
                <w:sz w:val="20"/>
                <w:szCs w:val="20"/>
                <w:color w:val="auto"/>
              </w:rPr>
              <w:t>State tax, net of federal benefit</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0.68%</w:t>
            </w:r>
          </w:p>
        </w:tc>
        <w:tc>
          <w:tcPr>
            <w:tcW w:w="0" w:type="dxa"/>
            <w:vAlign w:val="bottom"/>
          </w:tcPr>
          <w:p>
            <w:pPr>
              <w:spacing w:after="0"/>
              <w:rPr>
                <w:sz w:val="1"/>
                <w:szCs w:val="1"/>
                <w:color w:val="auto"/>
              </w:rPr>
            </w:pPr>
          </w:p>
        </w:tc>
      </w:tr>
      <w:tr>
        <w:trPr>
          <w:trHeight w:val="244"/>
        </w:trPr>
        <w:tc>
          <w:tcPr>
            <w:tcW w:w="54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Statutory rate differential</w:t>
            </w:r>
          </w:p>
        </w:tc>
        <w:tc>
          <w:tcPr>
            <w:tcW w:w="400" w:type="dxa"/>
            <w:vAlign w:val="bottom"/>
            <w:shd w:val="clear" w:color="auto" w:fill="EAEAEA"/>
          </w:tcPr>
          <w:p>
            <w:pPr>
              <w:spacing w:after="0"/>
              <w:rPr>
                <w:sz w:val="21"/>
                <w:szCs w:val="21"/>
                <w:color w:val="auto"/>
              </w:rPr>
            </w:pPr>
          </w:p>
        </w:tc>
        <w:tc>
          <w:tcPr>
            <w:tcW w:w="13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10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c>
          <w:tcPr>
            <w:tcW w:w="960" w:type="dxa"/>
            <w:vAlign w:val="bottom"/>
            <w:shd w:val="clear" w:color="auto" w:fill="EAEAEA"/>
          </w:tcPr>
          <w:p>
            <w:pPr>
              <w:spacing w:after="0"/>
              <w:rPr>
                <w:sz w:val="21"/>
                <w:szCs w:val="21"/>
                <w:color w:val="auto"/>
              </w:rPr>
            </w:pPr>
          </w:p>
        </w:tc>
        <w:tc>
          <w:tcPr>
            <w:tcW w:w="920" w:type="dxa"/>
            <w:vAlign w:val="bottom"/>
            <w:gridSpan w:val="2"/>
            <w:shd w:val="clear" w:color="auto" w:fill="EAEAEA"/>
          </w:tcPr>
          <w:p>
            <w:pPr>
              <w:jc w:val="right"/>
              <w:ind w:right="60"/>
              <w:spacing w:after="0"/>
              <w:rPr>
                <w:sz w:val="20"/>
                <w:szCs w:val="20"/>
                <w:color w:val="auto"/>
              </w:rPr>
            </w:pPr>
            <w:r>
              <w:rPr>
                <w:rFonts w:ascii="Times New Roman" w:cs="Times New Roman" w:eastAsia="Times New Roman" w:hAnsi="Times New Roman"/>
                <w:sz w:val="20"/>
                <w:szCs w:val="20"/>
                <w:color w:val="auto"/>
              </w:rPr>
              <w:t>(0.88)%</w:t>
            </w:r>
          </w:p>
        </w:tc>
        <w:tc>
          <w:tcPr>
            <w:tcW w:w="0" w:type="dxa"/>
            <w:vAlign w:val="bottom"/>
          </w:tcPr>
          <w:p>
            <w:pPr>
              <w:spacing w:after="0"/>
              <w:rPr>
                <w:sz w:val="1"/>
                <w:szCs w:val="1"/>
                <w:color w:val="auto"/>
              </w:rPr>
            </w:pPr>
          </w:p>
        </w:tc>
      </w:tr>
      <w:tr>
        <w:trPr>
          <w:trHeight w:val="244"/>
        </w:trPr>
        <w:tc>
          <w:tcPr>
            <w:tcW w:w="5440" w:type="dxa"/>
            <w:vAlign w:val="bottom"/>
          </w:tcPr>
          <w:p>
            <w:pPr>
              <w:spacing w:after="0"/>
              <w:rPr>
                <w:sz w:val="20"/>
                <w:szCs w:val="20"/>
                <w:color w:val="auto"/>
              </w:rPr>
            </w:pPr>
            <w:r>
              <w:rPr>
                <w:rFonts w:ascii="Times New Roman" w:cs="Times New Roman" w:eastAsia="Times New Roman" w:hAnsi="Times New Roman"/>
                <w:sz w:val="20"/>
                <w:szCs w:val="20"/>
                <w:color w:val="auto"/>
              </w:rPr>
              <w:t>Tax credits</w:t>
            </w:r>
          </w:p>
        </w:tc>
        <w:tc>
          <w:tcPr>
            <w:tcW w:w="40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(252)</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1.29%</w:t>
            </w:r>
          </w:p>
        </w:tc>
        <w:tc>
          <w:tcPr>
            <w:tcW w:w="0" w:type="dxa"/>
            <w:vAlign w:val="bottom"/>
          </w:tcPr>
          <w:p>
            <w:pPr>
              <w:spacing w:after="0"/>
              <w:rPr>
                <w:sz w:val="1"/>
                <w:szCs w:val="1"/>
                <w:color w:val="auto"/>
              </w:rPr>
            </w:pPr>
          </w:p>
        </w:tc>
      </w:tr>
      <w:tr>
        <w:trPr>
          <w:trHeight w:val="244"/>
        </w:trPr>
        <w:tc>
          <w:tcPr>
            <w:tcW w:w="54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Changes in valuation allowance</w:t>
            </w:r>
          </w:p>
        </w:tc>
        <w:tc>
          <w:tcPr>
            <w:tcW w:w="400" w:type="dxa"/>
            <w:vAlign w:val="bottom"/>
            <w:shd w:val="clear" w:color="auto" w:fill="EAEAEA"/>
          </w:tcPr>
          <w:p>
            <w:pPr>
              <w:spacing w:after="0"/>
              <w:rPr>
                <w:sz w:val="21"/>
                <w:szCs w:val="21"/>
                <w:color w:val="auto"/>
              </w:rPr>
            </w:pPr>
          </w:p>
        </w:tc>
        <w:tc>
          <w:tcPr>
            <w:tcW w:w="2600" w:type="dxa"/>
            <w:vAlign w:val="bottom"/>
            <w:gridSpan w:val="4"/>
            <w:shd w:val="clear" w:color="auto" w:fill="EAEAEA"/>
          </w:tcPr>
          <w:p>
            <w:pPr>
              <w:jc w:val="right"/>
              <w:ind w:right="12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shd w:val="clear" w:color="auto" w:fill="EAEAEA"/>
          </w:tcPr>
          <w:p>
            <w:pPr>
              <w:jc w:val="right"/>
              <w:ind w:right="120"/>
              <w:spacing w:after="0"/>
              <w:rPr>
                <w:sz w:val="20"/>
                <w:szCs w:val="20"/>
                <w:color w:val="auto"/>
              </w:rPr>
            </w:pPr>
            <w:r>
              <w:rPr>
                <w:rFonts w:ascii="Times New Roman" w:cs="Times New Roman" w:eastAsia="Times New Roman" w:hAnsi="Times New Roman"/>
                <w:sz w:val="20"/>
                <w:szCs w:val="20"/>
                <w:color w:val="auto"/>
              </w:rPr>
              <w:t>0.00%</w:t>
            </w:r>
          </w:p>
        </w:tc>
        <w:tc>
          <w:tcPr>
            <w:tcW w:w="0" w:type="dxa"/>
            <w:vAlign w:val="bottom"/>
          </w:tcPr>
          <w:p>
            <w:pPr>
              <w:spacing w:after="0"/>
              <w:rPr>
                <w:sz w:val="1"/>
                <w:szCs w:val="1"/>
                <w:color w:val="auto"/>
              </w:rPr>
            </w:pPr>
          </w:p>
        </w:tc>
      </w:tr>
      <w:tr>
        <w:trPr>
          <w:trHeight w:val="244"/>
        </w:trPr>
        <w:tc>
          <w:tcPr>
            <w:tcW w:w="5440" w:type="dxa"/>
            <w:vAlign w:val="bottom"/>
          </w:tcPr>
          <w:p>
            <w:pPr>
              <w:spacing w:after="0"/>
              <w:rPr>
                <w:sz w:val="20"/>
                <w:szCs w:val="20"/>
                <w:color w:val="auto"/>
              </w:rPr>
            </w:pPr>
            <w:r>
              <w:rPr>
                <w:rFonts w:ascii="Times New Roman" w:cs="Times New Roman" w:eastAsia="Times New Roman" w:hAnsi="Times New Roman"/>
                <w:sz w:val="20"/>
                <w:szCs w:val="20"/>
                <w:color w:val="auto"/>
              </w:rPr>
              <w:t>Changes in Unrecognized Tax Benefits</w:t>
            </w:r>
          </w:p>
        </w:tc>
        <w:tc>
          <w:tcPr>
            <w:tcW w:w="400" w:type="dxa"/>
            <w:vAlign w:val="bottom"/>
          </w:tcPr>
          <w:p>
            <w:pPr>
              <w:spacing w:after="0"/>
              <w:rPr>
                <w:sz w:val="21"/>
                <w:szCs w:val="21"/>
                <w:color w:val="auto"/>
              </w:rPr>
            </w:pPr>
          </w:p>
        </w:tc>
        <w:tc>
          <w:tcPr>
            <w:tcW w:w="2600" w:type="dxa"/>
            <w:vAlign w:val="bottom"/>
            <w:gridSpan w:val="4"/>
          </w:tcPr>
          <w:p>
            <w:pPr>
              <w:jc w:val="right"/>
              <w:ind w:right="12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0.00%</w:t>
            </w:r>
          </w:p>
        </w:tc>
        <w:tc>
          <w:tcPr>
            <w:tcW w:w="0" w:type="dxa"/>
            <w:vAlign w:val="bottom"/>
          </w:tcPr>
          <w:p>
            <w:pPr>
              <w:spacing w:after="0"/>
              <w:rPr>
                <w:sz w:val="1"/>
                <w:szCs w:val="1"/>
                <w:color w:val="auto"/>
              </w:rPr>
            </w:pPr>
          </w:p>
        </w:tc>
      </w:tr>
      <w:tr>
        <w:trPr>
          <w:trHeight w:val="244"/>
        </w:trPr>
        <w:tc>
          <w:tcPr>
            <w:tcW w:w="54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rPr>
              <w:t>Other reconciling items</w:t>
            </w:r>
          </w:p>
        </w:tc>
        <w:tc>
          <w:tcPr>
            <w:tcW w:w="400" w:type="dxa"/>
            <w:vAlign w:val="bottom"/>
            <w:shd w:val="clear" w:color="auto" w:fill="EAEAEA"/>
          </w:tcPr>
          <w:p>
            <w:pPr>
              <w:spacing w:after="0"/>
              <w:rPr>
                <w:sz w:val="21"/>
                <w:szCs w:val="21"/>
                <w:color w:val="auto"/>
              </w:rPr>
            </w:pPr>
          </w:p>
        </w:tc>
        <w:tc>
          <w:tcPr>
            <w:tcW w:w="134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c>
          <w:tcPr>
            <w:tcW w:w="960" w:type="dxa"/>
            <w:vAlign w:val="bottom"/>
            <w:shd w:val="clear" w:color="auto" w:fill="EAEAEA"/>
          </w:tcPr>
          <w:p>
            <w:pPr>
              <w:spacing w:after="0"/>
              <w:rPr>
                <w:sz w:val="21"/>
                <w:szCs w:val="21"/>
                <w:color w:val="auto"/>
              </w:rPr>
            </w:pPr>
          </w:p>
        </w:tc>
        <w:tc>
          <w:tcPr>
            <w:tcW w:w="620" w:type="dxa"/>
            <w:vAlign w:val="bottom"/>
            <w:shd w:val="clear" w:color="auto" w:fill="EAEAEA"/>
          </w:tcPr>
          <w:p>
            <w:pPr>
              <w:spacing w:after="0"/>
              <w:rPr>
                <w:sz w:val="21"/>
                <w:szCs w:val="21"/>
                <w:color w:val="auto"/>
              </w:rPr>
            </w:pPr>
          </w:p>
        </w:tc>
        <w:tc>
          <w:tcPr>
            <w:tcW w:w="30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4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Return to provision</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(0.38)%</w:t>
            </w:r>
          </w:p>
        </w:tc>
        <w:tc>
          <w:tcPr>
            <w:tcW w:w="0" w:type="dxa"/>
            <w:vAlign w:val="bottom"/>
          </w:tcPr>
          <w:p>
            <w:pPr>
              <w:spacing w:after="0"/>
              <w:rPr>
                <w:sz w:val="1"/>
                <w:szCs w:val="1"/>
                <w:color w:val="auto"/>
              </w:rPr>
            </w:pPr>
          </w:p>
        </w:tc>
      </w:tr>
      <w:tr>
        <w:trPr>
          <w:trHeight w:val="244"/>
        </w:trPr>
        <w:tc>
          <w:tcPr>
            <w:tcW w:w="5440" w:type="dxa"/>
            <w:vAlign w:val="bottom"/>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rPr>
              <w:t>Non-controlling interest</w:t>
            </w:r>
          </w:p>
        </w:tc>
        <w:tc>
          <w:tcPr>
            <w:tcW w:w="400" w:type="dxa"/>
            <w:vAlign w:val="bottom"/>
            <w:shd w:val="clear" w:color="auto" w:fill="EAEAEA"/>
          </w:tcPr>
          <w:p>
            <w:pPr>
              <w:spacing w:after="0"/>
              <w:rPr>
                <w:sz w:val="21"/>
                <w:szCs w:val="21"/>
                <w:color w:val="auto"/>
              </w:rPr>
            </w:pPr>
          </w:p>
        </w:tc>
        <w:tc>
          <w:tcPr>
            <w:tcW w:w="13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3,318</w:t>
            </w:r>
          </w:p>
        </w:tc>
        <w:tc>
          <w:tcPr>
            <w:tcW w:w="10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c>
          <w:tcPr>
            <w:tcW w:w="960" w:type="dxa"/>
            <w:vAlign w:val="bottom"/>
            <w:shd w:val="clear" w:color="auto" w:fill="EAEAEA"/>
          </w:tcPr>
          <w:p>
            <w:pPr>
              <w:spacing w:after="0"/>
              <w:rPr>
                <w:sz w:val="21"/>
                <w:szCs w:val="21"/>
                <w:color w:val="auto"/>
              </w:rPr>
            </w:pPr>
          </w:p>
        </w:tc>
        <w:tc>
          <w:tcPr>
            <w:tcW w:w="920" w:type="dxa"/>
            <w:vAlign w:val="bottom"/>
            <w:gridSpan w:val="2"/>
            <w:shd w:val="clear" w:color="auto" w:fill="EAEAEA"/>
          </w:tcPr>
          <w:p>
            <w:pPr>
              <w:jc w:val="right"/>
              <w:ind w:right="60"/>
              <w:spacing w:after="0"/>
              <w:rPr>
                <w:sz w:val="20"/>
                <w:szCs w:val="20"/>
                <w:color w:val="auto"/>
              </w:rPr>
            </w:pPr>
            <w:r>
              <w:rPr>
                <w:rFonts w:ascii="Times New Roman" w:cs="Times New Roman" w:eastAsia="Times New Roman" w:hAnsi="Times New Roman"/>
                <w:sz w:val="20"/>
                <w:szCs w:val="20"/>
                <w:color w:val="auto"/>
              </w:rPr>
              <w:t>(16.94)%</w:t>
            </w:r>
          </w:p>
        </w:tc>
        <w:tc>
          <w:tcPr>
            <w:tcW w:w="0" w:type="dxa"/>
            <w:vAlign w:val="bottom"/>
          </w:tcPr>
          <w:p>
            <w:pPr>
              <w:spacing w:after="0"/>
              <w:rPr>
                <w:sz w:val="1"/>
                <w:szCs w:val="1"/>
                <w:color w:val="auto"/>
              </w:rPr>
            </w:pPr>
          </w:p>
        </w:tc>
      </w:tr>
      <w:tr>
        <w:trPr>
          <w:trHeight w:val="244"/>
        </w:trPr>
        <w:tc>
          <w:tcPr>
            <w:tcW w:w="5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Nontaxable or Nondeductible Items</w:t>
            </w: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440" w:type="dxa"/>
            <w:vAlign w:val="bottom"/>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rPr>
              <w:t>Non-deductible expenses</w:t>
            </w:r>
          </w:p>
        </w:tc>
        <w:tc>
          <w:tcPr>
            <w:tcW w:w="400" w:type="dxa"/>
            <w:vAlign w:val="bottom"/>
            <w:shd w:val="clear" w:color="auto" w:fill="EAEAEA"/>
          </w:tcPr>
          <w:p>
            <w:pPr>
              <w:spacing w:after="0"/>
              <w:rPr>
                <w:sz w:val="21"/>
                <w:szCs w:val="21"/>
                <w:color w:val="auto"/>
              </w:rPr>
            </w:pPr>
          </w:p>
        </w:tc>
        <w:tc>
          <w:tcPr>
            <w:tcW w:w="13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10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c>
          <w:tcPr>
            <w:tcW w:w="960" w:type="dxa"/>
            <w:vAlign w:val="bottom"/>
            <w:shd w:val="clear" w:color="auto" w:fill="EAEAEA"/>
          </w:tcPr>
          <w:p>
            <w:pPr>
              <w:spacing w:after="0"/>
              <w:rPr>
                <w:sz w:val="21"/>
                <w:szCs w:val="21"/>
                <w:color w:val="auto"/>
              </w:rPr>
            </w:pPr>
          </w:p>
        </w:tc>
        <w:tc>
          <w:tcPr>
            <w:tcW w:w="920" w:type="dxa"/>
            <w:vAlign w:val="bottom"/>
            <w:gridSpan w:val="2"/>
            <w:shd w:val="clear" w:color="auto" w:fill="EAEAEA"/>
          </w:tcPr>
          <w:p>
            <w:pPr>
              <w:jc w:val="right"/>
              <w:ind w:right="60"/>
              <w:spacing w:after="0"/>
              <w:rPr>
                <w:sz w:val="20"/>
                <w:szCs w:val="20"/>
                <w:color w:val="auto"/>
              </w:rPr>
            </w:pPr>
            <w:r>
              <w:rPr>
                <w:rFonts w:ascii="Times New Roman" w:cs="Times New Roman" w:eastAsia="Times New Roman" w:hAnsi="Times New Roman"/>
                <w:sz w:val="20"/>
                <w:szCs w:val="20"/>
                <w:color w:val="auto"/>
              </w:rPr>
              <w:t>(0.27)%</w:t>
            </w:r>
          </w:p>
        </w:tc>
        <w:tc>
          <w:tcPr>
            <w:tcW w:w="0" w:type="dxa"/>
            <w:vAlign w:val="bottom"/>
          </w:tcPr>
          <w:p>
            <w:pPr>
              <w:spacing w:after="0"/>
              <w:rPr>
                <w:sz w:val="1"/>
                <w:szCs w:val="1"/>
                <w:color w:val="auto"/>
              </w:rPr>
            </w:pPr>
          </w:p>
        </w:tc>
      </w:tr>
      <w:tr>
        <w:trPr>
          <w:trHeight w:val="244"/>
        </w:trPr>
        <w:tc>
          <w:tcPr>
            <w:tcW w:w="54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Nontaxable expenses</w:t>
            </w:r>
          </w:p>
        </w:tc>
        <w:tc>
          <w:tcPr>
            <w:tcW w:w="40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rPr>
              <w:t>Effective tax rate</w:t>
            </w: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EAEAEA"/>
          </w:tcPr>
          <w:p>
            <w:pPr>
              <w:spacing w:after="0" w:line="20" w:lineRule="exact"/>
              <w:rPr>
                <w:sz w:val="1"/>
                <w:szCs w:val="1"/>
                <w:color w:val="auto"/>
              </w:rPr>
            </w:pPr>
          </w:p>
        </w:tc>
        <w:tc>
          <w:tcPr>
            <w:tcW w:w="200" w:type="dxa"/>
            <w:vAlign w:val="bottom"/>
            <w:shd w:val="clear" w:color="auto" w:fill="EAEAEA"/>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440" w:type="dxa"/>
            <w:vAlign w:val="bottom"/>
            <w:vMerge w:val="continue"/>
            <w:shd w:val="clear" w:color="auto" w:fill="EAEAEA"/>
          </w:tcPr>
          <w:p>
            <w:pPr>
              <w:spacing w:after="0"/>
              <w:rPr>
                <w:sz w:val="20"/>
                <w:szCs w:val="20"/>
                <w:color w:val="auto"/>
              </w:rPr>
            </w:pPr>
          </w:p>
        </w:tc>
        <w:tc>
          <w:tcPr>
            <w:tcW w:w="400" w:type="dxa"/>
            <w:vAlign w:val="bottom"/>
            <w:shd w:val="clear" w:color="auto" w:fill="EAEAEA"/>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(930)</w:t>
            </w:r>
          </w:p>
        </w:tc>
        <w:tc>
          <w:tcPr>
            <w:tcW w:w="100" w:type="dxa"/>
            <w:vAlign w:val="bottom"/>
            <w:shd w:val="clear" w:color="auto" w:fill="EAEAEA"/>
          </w:tcPr>
          <w:p>
            <w:pPr>
              <w:spacing w:after="0"/>
              <w:rPr>
                <w:sz w:val="20"/>
                <w:szCs w:val="20"/>
                <w:color w:val="auto"/>
              </w:rPr>
            </w:pPr>
          </w:p>
        </w:tc>
        <w:tc>
          <w:tcPr>
            <w:tcW w:w="200" w:type="dxa"/>
            <w:vAlign w:val="bottom"/>
            <w:shd w:val="clear" w:color="auto" w:fill="EAEAEA"/>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4.557%</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4621530</wp:posOffset>
                </wp:positionH>
                <wp:positionV relativeFrom="paragraph">
                  <wp:posOffset>-2051685</wp:posOffset>
                </wp:positionV>
                <wp:extent cx="1134110" cy="15494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34110" cy="154940"/>
                        </a:xfrm>
                        <a:prstGeom prst="rect">
                          <a:avLst/>
                        </a:prstGeom>
                        <a:solidFill>
                          <a:srgbClr val="EAEAEA"/>
                        </a:solidFill>
                      </wps:spPr>
                      <wps:bodyPr/>
                    </wps:wsp>
                  </a:graphicData>
                </a:graphic>
              </wp:anchor>
            </w:drawing>
          </mc:Choice>
          <mc:Fallback>
            <w:pict>
              <v:rect id="Shape 55" o:spid="_x0000_s1080" style="position:absolute;margin-left:363.9pt;margin-top:-161.5499pt;width:89.3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5755640</wp:posOffset>
                </wp:positionH>
                <wp:positionV relativeFrom="paragraph">
                  <wp:posOffset>-2061210</wp:posOffset>
                </wp:positionV>
                <wp:extent cx="187960" cy="164465"/>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7960" cy="164465"/>
                        </a:xfrm>
                        <a:prstGeom prst="rect">
                          <a:avLst/>
                        </a:prstGeom>
                        <a:solidFill>
                          <a:srgbClr val="EAEAEA"/>
                        </a:solidFill>
                      </wps:spPr>
                      <wps:bodyPr/>
                    </wps:wsp>
                  </a:graphicData>
                </a:graphic>
              </wp:anchor>
            </w:drawing>
          </mc:Choice>
          <mc:Fallback>
            <w:pict>
              <v:rect id="Shape 56" o:spid="_x0000_s1081" style="position:absolute;margin-left:453.2pt;margin-top:-162.2999pt;width:14.8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4744720</wp:posOffset>
                </wp:positionH>
                <wp:positionV relativeFrom="paragraph">
                  <wp:posOffset>-182880</wp:posOffset>
                </wp:positionV>
                <wp:extent cx="1010920" cy="15494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0920" cy="154940"/>
                        </a:xfrm>
                        <a:prstGeom prst="rect">
                          <a:avLst/>
                        </a:prstGeom>
                        <a:solidFill>
                          <a:srgbClr val="EAEAEA"/>
                        </a:solidFill>
                      </wps:spPr>
                      <wps:bodyPr/>
                    </wps:wsp>
                  </a:graphicData>
                </a:graphic>
              </wp:anchor>
            </w:drawing>
          </mc:Choice>
          <mc:Fallback>
            <w:pict>
              <v:rect id="Shape 57" o:spid="_x0000_s1082" style="position:absolute;margin-left:373.6pt;margin-top:-14.3999pt;width:79.6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5755640</wp:posOffset>
                </wp:positionH>
                <wp:positionV relativeFrom="paragraph">
                  <wp:posOffset>-192405</wp:posOffset>
                </wp:positionV>
                <wp:extent cx="187960" cy="164465"/>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7960" cy="164465"/>
                        </a:xfrm>
                        <a:prstGeom prst="rect">
                          <a:avLst/>
                        </a:prstGeom>
                        <a:solidFill>
                          <a:srgbClr val="EAEAEA"/>
                        </a:solidFill>
                      </wps:spPr>
                      <wps:bodyPr/>
                    </wps:wsp>
                  </a:graphicData>
                </a:graphic>
              </wp:anchor>
            </w:drawing>
          </mc:Choice>
          <mc:Fallback>
            <w:pict>
              <v:rect id="Shape 58" o:spid="_x0000_s1083" style="position:absolute;margin-left:453.2pt;margin-top:-15.1499pt;width:14.8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w:r>
    </w:p>
    <w:p>
      <w:pPr>
        <w:sectPr>
          <w:pgSz w:w="12240" w:h="15840" w:orient="portrait"/>
          <w:cols w:equalWidth="0" w:num="1">
            <w:col w:w="9540"/>
          </w:cols>
          <w:pgMar w:left="1260" w:top="224" w:right="1440" w:bottom="6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292929"/>
        </w:rPr>
        <w:t>F-24</w:t>
      </w:r>
    </w:p>
    <w:p>
      <w:pPr>
        <w:sectPr>
          <w:pgSz w:w="12240" w:h="15840" w:orient="portrait"/>
          <w:cols w:equalWidth="0" w:num="1">
            <w:col w:w="9540"/>
          </w:cols>
          <w:pgMar w:left="1260" w:top="224" w:right="1440" w:bottom="67" w:gutter="0" w:footer="0" w:header="0"/>
          <w:type w:val="continuous"/>
        </w:sectPr>
      </w:pPr>
    </w:p>
    <w:bookmarkStart w:id="90" w:name="page91"/>
    <w:bookmarkEnd w:id="90"/>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GEN RESTAURANT GROUP, INC.</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Notes to Consolidated Financial Statements</w:t>
      </w: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reconciliation of the U.S. federal statutory tax rate to the effective income tax rate for the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 was as follows:</w:t>
      </w:r>
    </w:p>
    <w:p>
      <w:pPr>
        <w:sectPr>
          <w:pgSz w:w="12240" w:h="15840" w:orient="portrait"/>
          <w:cols w:equalWidth="0" w:num="1">
            <w:col w:w="9540"/>
          </w:cols>
          <w:pgMar w:left="1260" w:top="224" w:right="1440" w:bottom="6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680"/>
        <w:spacing w:after="0" w:line="274" w:lineRule="auto"/>
        <w:rPr>
          <w:sz w:val="20"/>
          <w:szCs w:val="20"/>
          <w:color w:val="auto"/>
        </w:rPr>
      </w:pPr>
      <w:r>
        <w:rPr>
          <w:rFonts w:ascii="Times New Roman" w:cs="Times New Roman" w:eastAsia="Times New Roman" w:hAnsi="Times New Roman"/>
          <w:sz w:val="20"/>
          <w:szCs w:val="20"/>
          <w:color w:val="auto"/>
        </w:rPr>
        <w:t>Tax (benefit) provision at U.S. Federal statutory rates State income taxes net of federal benefit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-363220</wp:posOffset>
                </wp:positionV>
                <wp:extent cx="4119245" cy="188595"/>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19245" cy="188595"/>
                        </a:xfrm>
                        <a:prstGeom prst="rect">
                          <a:avLst/>
                        </a:prstGeom>
                        <a:solidFill>
                          <a:srgbClr val="EAEAEA"/>
                        </a:solidFill>
                      </wps:spPr>
                      <wps:bodyPr/>
                    </wps:wsp>
                  </a:graphicData>
                </a:graphic>
              </wp:anchor>
            </w:drawing>
          </mc:Choice>
          <mc:Fallback>
            <w:pict>
              <v:rect id="Shape 59" o:spid="_x0000_s1084" style="position:absolute;margin-left:0pt;margin-top:-28.5999pt;width:324.35pt;height:14.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w:r>
    </w:p>
    <w:p>
      <w:pPr>
        <w:spacing w:after="0"/>
        <w:rPr>
          <w:sz w:val="20"/>
          <w:szCs w:val="20"/>
          <w:color w:val="auto"/>
        </w:rPr>
      </w:pPr>
      <w:r>
        <w:rPr>
          <w:rFonts w:ascii="Times New Roman" w:cs="Times New Roman" w:eastAsia="Times New Roman" w:hAnsi="Times New Roman"/>
          <w:sz w:val="20"/>
          <w:szCs w:val="20"/>
          <w:color w:val="auto"/>
        </w:rPr>
        <w:t>Non-deductible permanent items expenses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-141605</wp:posOffset>
                </wp:positionV>
                <wp:extent cx="5299075" cy="178435"/>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99075" cy="178435"/>
                        </a:xfrm>
                        <a:prstGeom prst="rect">
                          <a:avLst/>
                        </a:prstGeom>
                        <a:solidFill>
                          <a:srgbClr val="EAEAEA"/>
                        </a:solidFill>
                      </wps:spPr>
                      <wps:bodyPr/>
                    </wps:wsp>
                  </a:graphicData>
                </a:graphic>
              </wp:anchor>
            </w:drawing>
          </mc:Choice>
          <mc:Fallback>
            <w:pict>
              <v:rect id="Shape 60" o:spid="_x0000_s1085" style="position:absolute;margin-left:0pt;margin-top:-11.1499pt;width:417.25pt;height:14.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Gain on GKBH remaining 50% interest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Non-controlling interest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-141605</wp:posOffset>
                </wp:positionV>
                <wp:extent cx="5299075" cy="178435"/>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99075" cy="178435"/>
                        </a:xfrm>
                        <a:prstGeom prst="rect">
                          <a:avLst/>
                        </a:prstGeom>
                        <a:solidFill>
                          <a:srgbClr val="EAEAEA"/>
                        </a:solidFill>
                      </wps:spPr>
                      <wps:bodyPr/>
                    </wps:wsp>
                  </a:graphicData>
                </a:graphic>
              </wp:anchor>
            </w:drawing>
          </mc:Choice>
          <mc:Fallback>
            <w:pict>
              <v:rect id="Shape 61" o:spid="_x0000_s1086" style="position:absolute;margin-left:0pt;margin-top:-11.1499pt;width:417.25pt;height:14.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Disallowed Exec Com - 162(m) limit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Valuation Allowance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-141605</wp:posOffset>
                </wp:positionV>
                <wp:extent cx="5299075" cy="178435"/>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99075" cy="178435"/>
                        </a:xfrm>
                        <a:prstGeom prst="rect">
                          <a:avLst/>
                        </a:prstGeom>
                        <a:solidFill>
                          <a:srgbClr val="EAEAEA"/>
                        </a:solidFill>
                      </wps:spPr>
                      <wps:bodyPr/>
                    </wps:wsp>
                  </a:graphicData>
                </a:graphic>
              </wp:anchor>
            </w:drawing>
          </mc:Choice>
          <mc:Fallback>
            <w:pict>
              <v:rect id="Shape 62" o:spid="_x0000_s1087" style="position:absolute;margin-left:0pt;margin-top:-11.1499pt;width:417.25pt;height:14.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Tax Credits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 rate change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-141605</wp:posOffset>
                </wp:positionV>
                <wp:extent cx="5299075" cy="178435"/>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99075" cy="178435"/>
                        </a:xfrm>
                        <a:prstGeom prst="rect">
                          <a:avLst/>
                        </a:prstGeom>
                        <a:solidFill>
                          <a:srgbClr val="EAEAEA"/>
                        </a:solidFill>
                      </wps:spPr>
                      <wps:bodyPr/>
                    </wps:wsp>
                  </a:graphicData>
                </a:graphic>
              </wp:anchor>
            </w:drawing>
          </mc:Choice>
          <mc:Fallback>
            <w:pict>
              <v:rect id="Shape 63" o:spid="_x0000_s1088" style="position:absolute;margin-left:0pt;margin-top:-11.1499pt;width:417.25pt;height:14.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Return to provision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Cumulative book expense on unvested RSU</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-141605</wp:posOffset>
                </wp:positionV>
                <wp:extent cx="5299075" cy="178435"/>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99075" cy="178435"/>
                        </a:xfrm>
                        <a:prstGeom prst="rect">
                          <a:avLst/>
                        </a:prstGeom>
                        <a:solidFill>
                          <a:srgbClr val="EAEAEA"/>
                        </a:solidFill>
                      </wps:spPr>
                      <wps:bodyPr/>
                    </wps:wsp>
                  </a:graphicData>
                </a:graphic>
              </wp:anchor>
            </w:drawing>
          </mc:Choice>
          <mc:Fallback>
            <w:pict>
              <v:rect id="Shape 64" o:spid="_x0000_s1089" style="position:absolute;margin-left:0pt;margin-top:-11.1499pt;width:417.25pt;height:14.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Change in valuation allowance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-141605</wp:posOffset>
                </wp:positionV>
                <wp:extent cx="5299075" cy="178435"/>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99075" cy="178435"/>
                        </a:xfrm>
                        <a:prstGeom prst="rect">
                          <a:avLst/>
                        </a:prstGeom>
                        <a:solidFill>
                          <a:srgbClr val="EAEAEA"/>
                        </a:solidFill>
                      </wps:spPr>
                      <wps:bodyPr/>
                    </wps:wsp>
                  </a:graphicData>
                </a:graphic>
              </wp:anchor>
            </w:drawing>
          </mc:Choice>
          <mc:Fallback>
            <w:pict>
              <v:rect id="Shape 65" o:spid="_x0000_s1090" style="position:absolute;margin-left:0pt;margin-top:-11.1499pt;width:417.25pt;height:14.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41275</wp:posOffset>
                </wp:positionV>
                <wp:extent cx="392747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2747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25pt" to="309.25pt,3.25pt" o:allowincell="f" strokecolor="#000000" strokeweight="0.75pt"/>
            </w:pict>
          </mc:Fallback>
        </mc:AlternateConten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Effective tax rate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60325</wp:posOffset>
                </wp:positionV>
                <wp:extent cx="392747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2747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75pt" to="309.25pt,4.7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41275</wp:posOffset>
                </wp:positionV>
                <wp:extent cx="392747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2747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25pt" to="309.25pt,3.25pt" o:allowincell="f" strokecolor="#000000" strokeweight="0.75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20"/>
          <w:szCs w:val="20"/>
          <w:b w:val="1"/>
          <w:bCs w:val="1"/>
          <w:color w:val="auto"/>
        </w:rPr>
        <w:t>Year ended</w:t>
      </w:r>
    </w:p>
    <w:p>
      <w:pPr>
        <w:spacing w:after="0" w:line="32"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9"/>
          <w:szCs w:val="19"/>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-122555</wp:posOffset>
                </wp:positionH>
                <wp:positionV relativeFrom="paragraph">
                  <wp:posOffset>6350</wp:posOffset>
                </wp:positionV>
                <wp:extent cx="98933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93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6499pt,0.5pt" to="68.25pt,0.5pt" o:allowincell="f" strokecolor="#000000" strokeweight="0.75pt"/>
            </w:pict>
          </mc:Fallback>
        </mc:AlternateContent>
      </w:r>
    </w:p>
    <w:p>
      <w:pPr>
        <w:spacing w:after="0" w:line="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-121920</wp:posOffset>
                </wp:positionH>
                <wp:positionV relativeFrom="paragraph">
                  <wp:posOffset>36830</wp:posOffset>
                </wp:positionV>
                <wp:extent cx="988695" cy="17907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8695" cy="179070"/>
                        </a:xfrm>
                        <a:prstGeom prst="rect">
                          <a:avLst/>
                        </a:prstGeom>
                        <a:solidFill>
                          <a:srgbClr val="EAEAEA"/>
                        </a:solidFill>
                      </wps:spPr>
                      <wps:bodyPr/>
                    </wps:wsp>
                  </a:graphicData>
                </a:graphic>
              </wp:anchor>
            </w:drawing>
          </mc:Choice>
          <mc:Fallback>
            <w:pict>
              <v:rect id="Shape 70" o:spid="_x0000_s1095" style="position:absolute;margin-left:-9.5999pt;margin-top:2.9pt;width:77.85pt;height:14.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866775</wp:posOffset>
                </wp:positionH>
                <wp:positionV relativeFrom="paragraph">
                  <wp:posOffset>27305</wp:posOffset>
                </wp:positionV>
                <wp:extent cx="190500" cy="188595"/>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 cy="188595"/>
                        </a:xfrm>
                        <a:prstGeom prst="rect">
                          <a:avLst/>
                        </a:prstGeom>
                        <a:solidFill>
                          <a:srgbClr val="EAEAEA"/>
                        </a:solidFill>
                      </wps:spPr>
                      <wps:bodyPr/>
                    </wps:wsp>
                  </a:graphicData>
                </a:graphic>
              </wp:anchor>
            </w:drawing>
          </mc:Choice>
          <mc:Fallback>
            <w:pict>
              <v:rect id="Shape 71" o:spid="_x0000_s1096" style="position:absolute;margin-left:68.25pt;margin-top:2.15pt;width:15pt;height:14.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-122555</wp:posOffset>
                </wp:positionH>
                <wp:positionV relativeFrom="paragraph">
                  <wp:posOffset>31750</wp:posOffset>
                </wp:positionV>
                <wp:extent cx="98933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93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6499pt,2.5pt" to="68.25pt,2.5pt" o:allowincell="f" strokecolor="#000000" strokeweight="0.75pt"/>
            </w:pict>
          </mc:Fallback>
        </mc:AlternateContent>
      </w:r>
    </w:p>
    <w:p>
      <w:pPr>
        <w:spacing w:after="0" w:line="7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21.0%</w:t>
      </w:r>
    </w:p>
    <w:p>
      <w:pPr>
        <w:spacing w:after="0" w:line="5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0.51%</w:t>
      </w:r>
    </w:p>
    <w:p>
      <w:pPr>
        <w:spacing w:after="0" w:line="5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0.05%</w:t>
      </w:r>
    </w:p>
    <w:p>
      <w:pPr>
        <w:spacing w:after="0" w:line="53" w:lineRule="exact"/>
        <w:rPr>
          <w:sz w:val="20"/>
          <w:szCs w:val="20"/>
          <w:color w:val="auto"/>
        </w:rPr>
      </w:pPr>
    </w:p>
    <w:p>
      <w:pPr>
        <w:jc w:val="right"/>
        <w:ind w:right="1260"/>
        <w:spacing w:after="0"/>
        <w:rPr>
          <w:sz w:val="20"/>
          <w:szCs w:val="20"/>
          <w:color w:val="auto"/>
        </w:rPr>
      </w:pPr>
      <w:r>
        <w:rPr>
          <w:rFonts w:ascii="Times New Roman" w:cs="Times New Roman" w:eastAsia="Times New Roman" w:hAnsi="Times New Roman"/>
          <w:sz w:val="20"/>
          <w:szCs w:val="20"/>
          <w:color w:val="auto"/>
        </w:rPr>
        <w:t>(2.02)%</w:t>
      </w:r>
    </w:p>
    <w:p>
      <w:pPr>
        <w:spacing w:after="0" w:line="53" w:lineRule="exact"/>
        <w:rPr>
          <w:sz w:val="20"/>
          <w:szCs w:val="20"/>
          <w:color w:val="auto"/>
        </w:rPr>
      </w:pPr>
    </w:p>
    <w:p>
      <w:pPr>
        <w:jc w:val="right"/>
        <w:ind w:right="1260"/>
        <w:spacing w:after="0"/>
        <w:rPr>
          <w:sz w:val="20"/>
          <w:szCs w:val="20"/>
          <w:color w:val="auto"/>
        </w:rPr>
      </w:pPr>
      <w:r>
        <w:rPr>
          <w:rFonts w:ascii="Times New Roman" w:cs="Times New Roman" w:eastAsia="Times New Roman" w:hAnsi="Times New Roman"/>
          <w:sz w:val="20"/>
          <w:szCs w:val="20"/>
          <w:color w:val="auto"/>
        </w:rPr>
        <w:t>(18.08)%</w:t>
      </w:r>
    </w:p>
    <w:p>
      <w:pPr>
        <w:spacing w:after="0" w:line="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w:t>
      </w:r>
    </w:p>
    <w:p>
      <w:pPr>
        <w:spacing w:after="0" w:line="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w:t>
      </w:r>
    </w:p>
    <w:p>
      <w:pPr>
        <w:spacing w:after="0" w:line="53" w:lineRule="exact"/>
        <w:rPr>
          <w:sz w:val="20"/>
          <w:szCs w:val="20"/>
          <w:color w:val="auto"/>
        </w:rPr>
      </w:pPr>
    </w:p>
    <w:p>
      <w:pPr>
        <w:jc w:val="right"/>
        <w:ind w:right="1260"/>
        <w:spacing w:after="0"/>
        <w:rPr>
          <w:sz w:val="20"/>
          <w:szCs w:val="20"/>
          <w:color w:val="auto"/>
        </w:rPr>
      </w:pPr>
      <w:r>
        <w:rPr>
          <w:rFonts w:ascii="Times New Roman" w:cs="Times New Roman" w:eastAsia="Times New Roman" w:hAnsi="Times New Roman"/>
          <w:sz w:val="20"/>
          <w:szCs w:val="20"/>
          <w:color w:val="auto"/>
        </w:rPr>
        <w:t>(2.80)%</w:t>
      </w:r>
    </w:p>
    <w:p>
      <w:pPr>
        <w:spacing w:after="0" w:line="5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8.68%</w:t>
      </w:r>
    </w:p>
    <w:p>
      <w:pPr>
        <w:spacing w:after="0" w:line="5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0.75%</w:t>
      </w:r>
    </w:p>
    <w:p>
      <w:pPr>
        <w:spacing w:after="0" w:line="53" w:lineRule="exact"/>
        <w:rPr>
          <w:sz w:val="20"/>
          <w:szCs w:val="20"/>
          <w:color w:val="auto"/>
        </w:rPr>
      </w:pPr>
    </w:p>
    <w:p>
      <w:pPr>
        <w:jc w:val="right"/>
        <w:ind w:right="1260"/>
        <w:spacing w:after="0"/>
        <w:rPr>
          <w:sz w:val="20"/>
          <w:szCs w:val="20"/>
          <w:color w:val="auto"/>
        </w:rPr>
      </w:pPr>
      <w:r>
        <w:rPr>
          <w:rFonts w:ascii="Times New Roman" w:cs="Times New Roman" w:eastAsia="Times New Roman" w:hAnsi="Times New Roman"/>
          <w:sz w:val="20"/>
          <w:szCs w:val="20"/>
          <w:color w:val="auto"/>
        </w:rPr>
        <w:t>(0.91)%</w:t>
      </w:r>
    </w:p>
    <w:p>
      <w:pPr>
        <w:spacing w:after="0" w:line="5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0.27%</w:t>
      </w:r>
    </w:p>
    <w:p>
      <w:pPr>
        <w:spacing w:after="0" w:line="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-122555</wp:posOffset>
                </wp:positionH>
                <wp:positionV relativeFrom="paragraph">
                  <wp:posOffset>17145</wp:posOffset>
                </wp:positionV>
                <wp:extent cx="98933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93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6499pt,1.35pt" to="68.25pt,1.35pt" o:allowincell="f" strokecolor="#000000" strokeweight="0.75pt"/>
            </w:pict>
          </mc:Fallback>
        </mc:AlternateContent>
      </w:r>
    </w:p>
    <w:p>
      <w:pPr>
        <w:spacing w:after="0" w:line="4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7.45%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-122555</wp:posOffset>
                </wp:positionH>
                <wp:positionV relativeFrom="paragraph">
                  <wp:posOffset>35560</wp:posOffset>
                </wp:positionV>
                <wp:extent cx="98933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93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6499pt,2.8pt" to="68.25pt,2.8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-122555</wp:posOffset>
                </wp:positionH>
                <wp:positionV relativeFrom="paragraph">
                  <wp:posOffset>16510</wp:posOffset>
                </wp:positionV>
                <wp:extent cx="98933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93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6499pt,1.3pt" to="68.25pt,1.3pt" o:allowincell="f" strokecolor="#000000" strokeweight="0.75pt"/>
            </w:pict>
          </mc:Fallback>
        </mc:AlternateContent>
      </w:r>
    </w:p>
    <w:p>
      <w:pPr>
        <w:spacing w:after="0" w:line="200" w:lineRule="exact"/>
        <w:rPr>
          <w:sz w:val="20"/>
          <w:szCs w:val="20"/>
          <w:color w:val="auto"/>
        </w:rPr>
      </w:pPr>
    </w:p>
    <w:p>
      <w:pPr>
        <w:sectPr>
          <w:pgSz w:w="12240" w:h="15840" w:orient="portrait"/>
          <w:cols w:equalWidth="0" w:num="2">
            <w:col w:w="5960" w:space="720"/>
            <w:col w:w="2860"/>
          </w:cols>
          <w:pgMar w:left="1260" w:top="224" w:right="1440" w:bottom="67" w:gutter="0" w:footer="0" w:header="0"/>
          <w:type w:val="continuous"/>
        </w:sectPr>
      </w:pPr>
    </w:p>
    <w:p>
      <w:pPr>
        <w:spacing w:after="0" w:line="85" w:lineRule="exact"/>
        <w:rPr>
          <w:sz w:val="20"/>
          <w:szCs w:val="20"/>
          <w:color w:val="auto"/>
        </w:rPr>
      </w:pPr>
    </w:p>
    <w:p>
      <w:pPr>
        <w:ind w:right="360" w:firstLine="490"/>
        <w:spacing w:after="0" w:line="249" w:lineRule="auto"/>
        <w:rPr>
          <w:sz w:val="20"/>
          <w:szCs w:val="20"/>
          <w:color w:val="auto"/>
        </w:rPr>
      </w:pPr>
      <w:r>
        <w:rPr>
          <w:rFonts w:ascii="Times New Roman" w:cs="Times New Roman" w:eastAsia="Times New Roman" w:hAnsi="Times New Roman"/>
          <w:sz w:val="20"/>
          <w:szCs w:val="20"/>
          <w:color w:val="auto"/>
        </w:rPr>
        <w:t>The Company’s income tax expense varies from the expense that would be expected based on statutory rates due principally to income passed through to the non-controlling interests. Prior to the IPO, income taxes for GEN, LLC at the consolidated level were primarily state, and local taxes minimum taxes. Subsequent to the IPO, the Company became a C Corporation subject to federal, state, and local income taxes with respect to its share of net taxable income of GEN, LLC.</w:t>
      </w:r>
    </w:p>
    <w:p>
      <w:pPr>
        <w:spacing w:after="0" w:line="197" w:lineRule="exact"/>
        <w:rPr>
          <w:sz w:val="20"/>
          <w:szCs w:val="20"/>
          <w:color w:val="auto"/>
        </w:rPr>
      </w:pPr>
    </w:p>
    <w:p>
      <w:pPr>
        <w:ind w:right="360" w:firstLine="490"/>
        <w:spacing w:after="0" w:line="277" w:lineRule="auto"/>
        <w:rPr>
          <w:sz w:val="20"/>
          <w:szCs w:val="20"/>
          <w:color w:val="auto"/>
        </w:rPr>
      </w:pPr>
      <w:r>
        <w:rPr>
          <w:rFonts w:ascii="Times New Roman" w:cs="Times New Roman" w:eastAsia="Times New Roman" w:hAnsi="Times New Roman"/>
          <w:sz w:val="20"/>
          <w:szCs w:val="20"/>
          <w:color w:val="auto"/>
        </w:rPr>
        <w:t>Temporary differences and carryforwards that give rise to deferred tax assets and liabilities are comprised of the following:</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3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 thousands)</w:t>
            </w:r>
          </w:p>
        </w:tc>
        <w:tc>
          <w:tcPr>
            <w:tcW w:w="24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340" w:type="dxa"/>
            <w:vAlign w:val="bottom"/>
            <w:tcBorders>
              <w:bottom w:val="single" w:sz="8" w:color="EAEAEA"/>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40" w:type="dxa"/>
            <w:vAlign w:val="bottom"/>
            <w:tcBorders>
              <w:bottom w:val="single" w:sz="8" w:color="EAEAEA"/>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bottom w:val="single" w:sz="8" w:color="EAEAEA"/>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3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rPr>
              <w:t>Deferred tax assets:</w:t>
            </w:r>
          </w:p>
        </w:tc>
        <w:tc>
          <w:tcPr>
            <w:tcW w:w="240" w:type="dxa"/>
            <w:vAlign w:val="bottom"/>
            <w:shd w:val="clear" w:color="auto" w:fill="EAEAEA"/>
          </w:tcPr>
          <w:p>
            <w:pPr>
              <w:spacing w:after="0"/>
              <w:rPr>
                <w:sz w:val="20"/>
                <w:szCs w:val="20"/>
                <w:color w:val="auto"/>
              </w:rPr>
            </w:pPr>
          </w:p>
        </w:tc>
        <w:tc>
          <w:tcPr>
            <w:tcW w:w="1120" w:type="dxa"/>
            <w:vAlign w:val="bottom"/>
            <w:shd w:val="clear" w:color="auto" w:fill="EAEAEA"/>
          </w:tcPr>
          <w:p>
            <w:pPr>
              <w:spacing w:after="0"/>
              <w:rPr>
                <w:sz w:val="20"/>
                <w:szCs w:val="20"/>
                <w:color w:val="auto"/>
              </w:rPr>
            </w:pPr>
          </w:p>
        </w:tc>
        <w:tc>
          <w:tcPr>
            <w:tcW w:w="240" w:type="dxa"/>
            <w:vAlign w:val="bottom"/>
            <w:shd w:val="clear" w:color="auto" w:fill="EAEAEA"/>
          </w:tcPr>
          <w:p>
            <w:pPr>
              <w:spacing w:after="0"/>
              <w:rPr>
                <w:sz w:val="20"/>
                <w:szCs w:val="20"/>
                <w:color w:val="auto"/>
              </w:rPr>
            </w:pPr>
          </w:p>
        </w:tc>
        <w:tc>
          <w:tcPr>
            <w:tcW w:w="280" w:type="dxa"/>
            <w:vAlign w:val="bottom"/>
            <w:shd w:val="clear" w:color="auto" w:fill="EAEAEA"/>
          </w:tcPr>
          <w:p>
            <w:pPr>
              <w:spacing w:after="0"/>
              <w:rPr>
                <w:sz w:val="20"/>
                <w:szCs w:val="20"/>
                <w:color w:val="auto"/>
              </w:rPr>
            </w:pPr>
          </w:p>
        </w:tc>
        <w:tc>
          <w:tcPr>
            <w:tcW w:w="108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Net operating losses</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w:t>
            </w:r>
          </w:p>
        </w:tc>
        <w:tc>
          <w:tcPr>
            <w:tcW w:w="240" w:type="dxa"/>
            <w:vAlign w:val="bottom"/>
          </w:tcPr>
          <w:p>
            <w:pPr>
              <w:spacing w:after="0"/>
              <w:rPr>
                <w:sz w:val="21"/>
                <w:szCs w:val="21"/>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Tax Credits</w:t>
            </w:r>
          </w:p>
        </w:tc>
        <w:tc>
          <w:tcPr>
            <w:tcW w:w="240" w:type="dxa"/>
            <w:vAlign w:val="bottom"/>
            <w:shd w:val="clear" w:color="auto" w:fill="EAEAEA"/>
          </w:tcPr>
          <w:p>
            <w:pPr>
              <w:spacing w:after="0"/>
              <w:rPr>
                <w:sz w:val="21"/>
                <w:szCs w:val="21"/>
                <w:color w:val="auto"/>
              </w:rPr>
            </w:pPr>
          </w:p>
        </w:tc>
        <w:tc>
          <w:tcPr>
            <w:tcW w:w="11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367</w:t>
            </w:r>
          </w:p>
        </w:tc>
        <w:tc>
          <w:tcPr>
            <w:tcW w:w="240" w:type="dxa"/>
            <w:vAlign w:val="bottom"/>
            <w:shd w:val="clear" w:color="auto" w:fill="EAEAEA"/>
          </w:tcPr>
          <w:p>
            <w:pPr>
              <w:spacing w:after="0"/>
              <w:rPr>
                <w:sz w:val="21"/>
                <w:szCs w:val="21"/>
                <w:color w:val="auto"/>
              </w:rPr>
            </w:pPr>
          </w:p>
        </w:tc>
        <w:tc>
          <w:tcPr>
            <w:tcW w:w="280" w:type="dxa"/>
            <w:vAlign w:val="bottom"/>
            <w:shd w:val="clear" w:color="auto" w:fill="EAEAEA"/>
          </w:tcPr>
          <w:p>
            <w:pPr>
              <w:spacing w:after="0"/>
              <w:rPr>
                <w:sz w:val="21"/>
                <w:szCs w:val="21"/>
                <w:color w:val="auto"/>
              </w:rPr>
            </w:pPr>
          </w:p>
        </w:tc>
        <w:tc>
          <w:tcPr>
            <w:tcW w:w="10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6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Outside basis differences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12,323</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11,630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Charitable contributions carryover</w:t>
            </w:r>
          </w:p>
        </w:tc>
        <w:tc>
          <w:tcPr>
            <w:tcW w:w="240" w:type="dxa"/>
            <w:vAlign w:val="bottom"/>
            <w:shd w:val="clear" w:color="auto" w:fill="EAEAEA"/>
          </w:tcPr>
          <w:p>
            <w:pPr>
              <w:spacing w:after="0"/>
              <w:rPr>
                <w:sz w:val="21"/>
                <w:szCs w:val="21"/>
                <w:color w:val="auto"/>
              </w:rPr>
            </w:pPr>
          </w:p>
        </w:tc>
        <w:tc>
          <w:tcPr>
            <w:tcW w:w="11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AEAEA"/>
          </w:tcPr>
          <w:p>
            <w:pPr>
              <w:spacing w:after="0"/>
              <w:rPr>
                <w:sz w:val="21"/>
                <w:szCs w:val="21"/>
                <w:color w:val="auto"/>
              </w:rPr>
            </w:pPr>
          </w:p>
        </w:tc>
        <w:tc>
          <w:tcPr>
            <w:tcW w:w="280" w:type="dxa"/>
            <w:vAlign w:val="bottom"/>
            <w:shd w:val="clear" w:color="auto" w:fill="EAEAEA"/>
          </w:tcPr>
          <w:p>
            <w:pPr>
              <w:spacing w:after="0"/>
              <w:rPr>
                <w:sz w:val="21"/>
                <w:szCs w:val="21"/>
                <w:color w:val="auto"/>
              </w:rPr>
            </w:pPr>
          </w:p>
        </w:tc>
        <w:tc>
          <w:tcPr>
            <w:tcW w:w="10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20"/>
                <w:szCs w:val="20"/>
                <w:color w:val="auto"/>
              </w:rPr>
              <w:t>State taxes</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EAEAEA"/>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60" w:type="dxa"/>
            <w:vAlign w:val="bottom"/>
            <w:tcBorders>
              <w:bottom w:val="single" w:sz="8" w:color="EAEAEA"/>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340" w:type="dxa"/>
            <w:vAlign w:val="bottom"/>
            <w:shd w:val="clear" w:color="auto" w:fill="EAEAEA"/>
          </w:tcPr>
          <w:p>
            <w:pPr>
              <w:ind w:left="100"/>
              <w:spacing w:after="0"/>
              <w:rPr>
                <w:sz w:val="20"/>
                <w:szCs w:val="20"/>
                <w:color w:val="auto"/>
              </w:rPr>
            </w:pPr>
            <w:r>
              <w:rPr>
                <w:rFonts w:ascii="Times New Roman" w:cs="Times New Roman" w:eastAsia="Times New Roman" w:hAnsi="Times New Roman"/>
                <w:sz w:val="20"/>
                <w:szCs w:val="20"/>
                <w:color w:val="auto"/>
              </w:rPr>
              <w:t>Gross deferred tax asset before valuation</w:t>
            </w:r>
          </w:p>
        </w:tc>
        <w:tc>
          <w:tcPr>
            <w:tcW w:w="240" w:type="dxa"/>
            <w:vAlign w:val="bottom"/>
            <w:shd w:val="clear" w:color="auto" w:fill="EAEAEA"/>
          </w:tcPr>
          <w:p>
            <w:pPr>
              <w:spacing w:after="0"/>
              <w:rPr>
                <w:sz w:val="20"/>
                <w:szCs w:val="20"/>
                <w:color w:val="auto"/>
              </w:rPr>
            </w:pPr>
          </w:p>
        </w:tc>
        <w:tc>
          <w:tcPr>
            <w:tcW w:w="11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13,009</w:t>
            </w:r>
          </w:p>
        </w:tc>
        <w:tc>
          <w:tcPr>
            <w:tcW w:w="240" w:type="dxa"/>
            <w:vAlign w:val="bottom"/>
            <w:shd w:val="clear" w:color="auto" w:fill="EAEAEA"/>
          </w:tcPr>
          <w:p>
            <w:pPr>
              <w:spacing w:after="0"/>
              <w:rPr>
                <w:sz w:val="20"/>
                <w:szCs w:val="20"/>
                <w:color w:val="auto"/>
              </w:rPr>
            </w:pPr>
          </w:p>
        </w:tc>
        <w:tc>
          <w:tcPr>
            <w:tcW w:w="280" w:type="dxa"/>
            <w:vAlign w:val="bottom"/>
            <w:shd w:val="clear" w:color="auto" w:fill="EAEAEA"/>
          </w:tcPr>
          <w:p>
            <w:pPr>
              <w:spacing w:after="0"/>
              <w:rPr>
                <w:sz w:val="20"/>
                <w:szCs w:val="20"/>
                <w:color w:val="auto"/>
              </w:rPr>
            </w:pPr>
          </w:p>
        </w:tc>
        <w:tc>
          <w:tcPr>
            <w:tcW w:w="10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11,686</w:t>
            </w:r>
          </w:p>
        </w:tc>
        <w:tc>
          <w:tcPr>
            <w:tcW w:w="6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40" w:type="dxa"/>
            <w:vAlign w:val="bottom"/>
            <w:tcBorders>
              <w:bottom w:val="single" w:sz="8" w:color="EAEAEA"/>
            </w:tcBorders>
          </w:tcPr>
          <w:p>
            <w:pPr>
              <w:ind w:left="100"/>
              <w:spacing w:after="0"/>
              <w:rPr>
                <w:sz w:val="20"/>
                <w:szCs w:val="20"/>
                <w:color w:val="auto"/>
              </w:rPr>
            </w:pPr>
            <w:r>
              <w:rPr>
                <w:rFonts w:ascii="Times New Roman" w:cs="Times New Roman" w:eastAsia="Times New Roman" w:hAnsi="Times New Roman"/>
                <w:sz w:val="20"/>
                <w:szCs w:val="20"/>
                <w:color w:val="auto"/>
              </w:rPr>
              <w:t>Valuation Allowance</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EAEAEA"/>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AEAEA"/>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340" w:type="dxa"/>
            <w:vAlign w:val="bottom"/>
            <w:shd w:val="clear" w:color="auto" w:fill="EAEAEA"/>
          </w:tcPr>
          <w:p>
            <w:pPr>
              <w:ind w:left="100"/>
              <w:spacing w:after="0"/>
              <w:rPr>
                <w:sz w:val="20"/>
                <w:szCs w:val="20"/>
                <w:color w:val="auto"/>
              </w:rPr>
            </w:pPr>
            <w:r>
              <w:rPr>
                <w:rFonts w:ascii="Times New Roman" w:cs="Times New Roman" w:eastAsia="Times New Roman" w:hAnsi="Times New Roman"/>
                <w:sz w:val="20"/>
                <w:szCs w:val="20"/>
                <w:color w:val="auto"/>
              </w:rPr>
              <w:t>Net Deferred Tax Assets</w:t>
            </w:r>
          </w:p>
        </w:tc>
        <w:tc>
          <w:tcPr>
            <w:tcW w:w="240" w:type="dxa"/>
            <w:vAlign w:val="bottom"/>
            <w:shd w:val="clear" w:color="auto" w:fill="EAEAEA"/>
          </w:tcPr>
          <w:p>
            <w:pPr>
              <w:spacing w:after="0"/>
              <w:rPr>
                <w:sz w:val="20"/>
                <w:szCs w:val="20"/>
                <w:color w:val="auto"/>
              </w:rPr>
            </w:pPr>
          </w:p>
        </w:tc>
        <w:tc>
          <w:tcPr>
            <w:tcW w:w="11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13,009</w:t>
            </w:r>
          </w:p>
        </w:tc>
        <w:tc>
          <w:tcPr>
            <w:tcW w:w="240" w:type="dxa"/>
            <w:vAlign w:val="bottom"/>
            <w:shd w:val="clear" w:color="auto" w:fill="EAEAEA"/>
          </w:tcPr>
          <w:p>
            <w:pPr>
              <w:spacing w:after="0"/>
              <w:rPr>
                <w:sz w:val="20"/>
                <w:szCs w:val="20"/>
                <w:color w:val="auto"/>
              </w:rPr>
            </w:pPr>
          </w:p>
        </w:tc>
        <w:tc>
          <w:tcPr>
            <w:tcW w:w="280" w:type="dxa"/>
            <w:vAlign w:val="bottom"/>
            <w:shd w:val="clear" w:color="auto" w:fill="EAEAEA"/>
          </w:tcPr>
          <w:p>
            <w:pPr>
              <w:spacing w:after="0"/>
              <w:rPr>
                <w:sz w:val="20"/>
                <w:szCs w:val="20"/>
                <w:color w:val="auto"/>
              </w:rPr>
            </w:pPr>
          </w:p>
        </w:tc>
        <w:tc>
          <w:tcPr>
            <w:tcW w:w="10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11,686</w:t>
            </w:r>
          </w:p>
        </w:tc>
        <w:tc>
          <w:tcPr>
            <w:tcW w:w="6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liabilities: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Stock based compensation</w:t>
            </w:r>
          </w:p>
        </w:tc>
        <w:tc>
          <w:tcPr>
            <w:tcW w:w="240" w:type="dxa"/>
            <w:vAlign w:val="bottom"/>
            <w:shd w:val="clear" w:color="auto" w:fill="EAEAEA"/>
          </w:tcPr>
          <w:p>
            <w:pPr>
              <w:spacing w:after="0"/>
              <w:rPr>
                <w:sz w:val="21"/>
                <w:szCs w:val="21"/>
                <w:color w:val="auto"/>
              </w:rPr>
            </w:pPr>
          </w:p>
        </w:tc>
        <w:tc>
          <w:tcPr>
            <w:tcW w:w="11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AEAEA"/>
          </w:tcPr>
          <w:p>
            <w:pPr>
              <w:spacing w:after="0"/>
              <w:rPr>
                <w:sz w:val="21"/>
                <w:szCs w:val="21"/>
                <w:color w:val="auto"/>
              </w:rPr>
            </w:pPr>
          </w:p>
        </w:tc>
        <w:tc>
          <w:tcPr>
            <w:tcW w:w="280" w:type="dxa"/>
            <w:vAlign w:val="bottom"/>
            <w:shd w:val="clear" w:color="auto" w:fill="EAEAEA"/>
          </w:tcPr>
          <w:p>
            <w:pPr>
              <w:spacing w:after="0"/>
              <w:rPr>
                <w:sz w:val="21"/>
                <w:szCs w:val="21"/>
                <w:color w:val="auto"/>
              </w:rPr>
            </w:pPr>
          </w:p>
        </w:tc>
        <w:tc>
          <w:tcPr>
            <w:tcW w:w="10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20"/>
                <w:szCs w:val="20"/>
                <w:color w:val="auto"/>
              </w:rPr>
              <w:t>Acquired intangibles</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EAEAEA"/>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AEAEA"/>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3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240" w:type="dxa"/>
            <w:vAlign w:val="bottom"/>
            <w:shd w:val="clear" w:color="auto" w:fill="EAEAEA"/>
          </w:tcPr>
          <w:p>
            <w:pPr>
              <w:spacing w:after="0"/>
              <w:rPr>
                <w:sz w:val="20"/>
                <w:szCs w:val="20"/>
                <w:color w:val="auto"/>
              </w:rPr>
            </w:pPr>
          </w:p>
        </w:tc>
        <w:tc>
          <w:tcPr>
            <w:tcW w:w="11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AEAEA"/>
          </w:tcPr>
          <w:p>
            <w:pPr>
              <w:spacing w:after="0"/>
              <w:rPr>
                <w:sz w:val="20"/>
                <w:szCs w:val="20"/>
                <w:color w:val="auto"/>
              </w:rPr>
            </w:pPr>
          </w:p>
        </w:tc>
        <w:tc>
          <w:tcPr>
            <w:tcW w:w="280" w:type="dxa"/>
            <w:vAlign w:val="bottom"/>
            <w:shd w:val="clear" w:color="auto" w:fill="EAEAEA"/>
          </w:tcPr>
          <w:p>
            <w:pPr>
              <w:spacing w:after="0"/>
              <w:rPr>
                <w:sz w:val="20"/>
                <w:szCs w:val="20"/>
                <w:color w:val="auto"/>
              </w:rPr>
            </w:pPr>
          </w:p>
        </w:tc>
        <w:tc>
          <w:tcPr>
            <w:tcW w:w="10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4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Net Deferred Tax Assets (Liabilities)</w:t>
            </w:r>
          </w:p>
        </w:tc>
        <w:tc>
          <w:tcPr>
            <w:tcW w:w="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13,009</w:t>
            </w:r>
          </w:p>
        </w:tc>
        <w:tc>
          <w:tcPr>
            <w:tcW w:w="240" w:type="dxa"/>
            <w:vAlign w:val="bottom"/>
          </w:tcPr>
          <w:p>
            <w:pPr>
              <w:spacing w:after="0"/>
              <w:rPr>
                <w:sz w:val="21"/>
                <w:szCs w:val="21"/>
                <w:color w:val="auto"/>
              </w:rPr>
            </w:pP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11,686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540"/>
          </w:cols>
          <w:pgMar w:left="1260" w:top="224" w:right="1440" w:bottom="6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292929"/>
        </w:rPr>
        <w:t>F-25</w:t>
      </w:r>
    </w:p>
    <w:p>
      <w:pPr>
        <w:sectPr>
          <w:pgSz w:w="12240" w:h="15840" w:orient="portrait"/>
          <w:cols w:equalWidth="0" w:num="1">
            <w:col w:w="9540"/>
          </w:cols>
          <w:pgMar w:left="1260" w:top="224" w:right="1440" w:bottom="67"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30"/>
        </w:trPr>
        <w:tc>
          <w:tcPr>
            <w:tcW w:w="2740" w:type="dxa"/>
            <w:vAlign w:val="bottom"/>
          </w:tcPr>
          <w:p>
            <w:pPr>
              <w:spacing w:after="0"/>
              <w:rPr>
                <w:sz w:val="19"/>
                <w:szCs w:val="19"/>
                <w:color w:val="auto"/>
              </w:rPr>
            </w:pPr>
          </w:p>
        </w:tc>
        <w:tc>
          <w:tcPr>
            <w:tcW w:w="5080" w:type="dxa"/>
            <w:vAlign w:val="bottom"/>
            <w:gridSpan w:val="2"/>
          </w:tcPr>
          <w:p>
            <w:pPr>
              <w:jc w:val="center"/>
              <w:ind w:right="1100"/>
              <w:spacing w:after="0"/>
              <w:rPr>
                <w:sz w:val="20"/>
                <w:szCs w:val="20"/>
                <w:color w:val="auto"/>
              </w:rPr>
            </w:pPr>
            <w:r>
              <w:rPr>
                <w:rFonts w:ascii="Times New Roman" w:cs="Times New Roman" w:eastAsia="Times New Roman" w:hAnsi="Times New Roman"/>
                <w:sz w:val="20"/>
                <w:szCs w:val="20"/>
                <w:b w:val="1"/>
                <w:bCs w:val="1"/>
                <w:color w:val="292929"/>
              </w:rPr>
              <w:t>GEN RESTAURANT GROUP, INC.</w:t>
            </w: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5080" w:type="dxa"/>
            <w:vAlign w:val="bottom"/>
            <w:gridSpan w:val="2"/>
          </w:tcPr>
          <w:p>
            <w:pPr>
              <w:jc w:val="center"/>
              <w:ind w:right="1100"/>
              <w:spacing w:after="0"/>
              <w:rPr>
                <w:sz w:val="20"/>
                <w:szCs w:val="20"/>
                <w:color w:val="auto"/>
              </w:rPr>
            </w:pPr>
            <w:r>
              <w:rPr>
                <w:rFonts w:ascii="Times New Roman" w:cs="Times New Roman" w:eastAsia="Times New Roman" w:hAnsi="Times New Roman"/>
                <w:sz w:val="20"/>
                <w:szCs w:val="20"/>
                <w:b w:val="1"/>
                <w:bCs w:val="1"/>
                <w:color w:val="292929"/>
              </w:rPr>
              <w:t>Notes to Consolidated Financial Statements</w:t>
            </w: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2740" w:type="dxa"/>
            <w:vAlign w:val="bottom"/>
          </w:tcPr>
          <w:p>
            <w:pPr>
              <w:spacing w:after="0"/>
              <w:rPr>
                <w:sz w:val="23"/>
                <w:szCs w:val="23"/>
                <w:color w:val="auto"/>
              </w:rPr>
            </w:pPr>
          </w:p>
        </w:tc>
        <w:tc>
          <w:tcPr>
            <w:tcW w:w="5080" w:type="dxa"/>
            <w:vAlign w:val="bottom"/>
            <w:gridSpan w:val="2"/>
          </w:tcPr>
          <w:p>
            <w:pPr>
              <w:jc w:val="center"/>
              <w:ind w:right="1100"/>
              <w:spacing w:after="0"/>
              <w:rPr>
                <w:sz w:val="20"/>
                <w:szCs w:val="20"/>
                <w:color w:val="auto"/>
              </w:rPr>
            </w:pPr>
            <w:r>
              <w:rPr>
                <w:rFonts w:ascii="Times New Roman" w:cs="Times New Roman" w:eastAsia="Times New Roman" w:hAnsi="Times New Roman"/>
                <w:sz w:val="20"/>
                <w:szCs w:val="20"/>
                <w:b w:val="1"/>
                <w:bCs w:val="1"/>
                <w:color w:val="292929"/>
              </w:rPr>
              <w:t>December 31, 2025 and 2024</w:t>
            </w:r>
          </w:p>
        </w:tc>
        <w:tc>
          <w:tcPr>
            <w:tcW w:w="1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22"/>
        </w:trPr>
        <w:tc>
          <w:tcPr>
            <w:tcW w:w="27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7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49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EAEAEA"/>
            </w:tcBorders>
            <w:vMerge w:val="continue"/>
          </w:tcPr>
          <w:p>
            <w:pPr>
              <w:spacing w:after="0"/>
              <w:rPr>
                <w:sz w:val="20"/>
                <w:szCs w:val="20"/>
                <w:color w:val="auto"/>
              </w:rPr>
            </w:pPr>
          </w:p>
        </w:tc>
        <w:tc>
          <w:tcPr>
            <w:tcW w:w="4920" w:type="dxa"/>
            <w:vAlign w:val="bottom"/>
            <w:tcBorders>
              <w:bottom w:val="single" w:sz="8" w:color="EAEAEA"/>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60" w:type="dxa"/>
            <w:vAlign w:val="bottom"/>
            <w:tcBorders>
              <w:bottom w:val="single" w:sz="8" w:color="EAEAEA"/>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7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Net operating losses is as follows</w:t>
            </w:r>
          </w:p>
        </w:tc>
        <w:tc>
          <w:tcPr>
            <w:tcW w:w="492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148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7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Net operating losses, federal</w:t>
            </w:r>
          </w:p>
        </w:tc>
        <w:tc>
          <w:tcPr>
            <w:tcW w:w="49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740" w:type="dxa"/>
            <w:vAlign w:val="bottom"/>
            <w:shd w:val="clear" w:color="auto" w:fill="EAEAEA"/>
          </w:tcPr>
          <w:p>
            <w:pPr>
              <w:ind w:left="100"/>
              <w:spacing w:after="0"/>
              <w:rPr>
                <w:sz w:val="20"/>
                <w:szCs w:val="20"/>
                <w:color w:val="auto"/>
              </w:rPr>
            </w:pPr>
            <w:r>
              <w:rPr>
                <w:rFonts w:ascii="Times New Roman" w:cs="Times New Roman" w:eastAsia="Times New Roman" w:hAnsi="Times New Roman"/>
                <w:sz w:val="20"/>
                <w:szCs w:val="20"/>
                <w:color w:val="auto"/>
              </w:rPr>
              <w:t>Net operating losses, state</w:t>
            </w:r>
          </w:p>
        </w:tc>
        <w:tc>
          <w:tcPr>
            <w:tcW w:w="492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14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6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27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Net operating losses, foreign</w:t>
            </w:r>
          </w:p>
        </w:tc>
        <w:tc>
          <w:tcPr>
            <w:tcW w:w="4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Income taxes paid for the year ending December 31, 2025 are as follows: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center"/>
              <w:ind w:right="148"/>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660" w:type="dxa"/>
            <w:vAlign w:val="bottom"/>
            <w:tcBorders>
              <w:bottom w:val="single" w:sz="8" w:color="EAEAEA"/>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Borders>
              <w:bottom w:val="single" w:sz="8" w:color="EAEAEA"/>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766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Income tax payments information for the current year:</w:t>
            </w:r>
          </w:p>
        </w:tc>
        <w:tc>
          <w:tcPr>
            <w:tcW w:w="220" w:type="dxa"/>
            <w:vAlign w:val="bottom"/>
            <w:shd w:val="clear" w:color="auto" w:fill="EAEAEA"/>
          </w:tcPr>
          <w:p>
            <w:pPr>
              <w:spacing w:after="0"/>
              <w:rPr>
                <w:sz w:val="20"/>
                <w:szCs w:val="20"/>
                <w:color w:val="auto"/>
              </w:rPr>
            </w:pPr>
          </w:p>
        </w:tc>
        <w:tc>
          <w:tcPr>
            <w:tcW w:w="142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6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Federal income tax payments</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660" w:type="dxa"/>
            <w:vAlign w:val="bottom"/>
            <w:shd w:val="clear" w:color="auto" w:fill="EAEAEA"/>
          </w:tcPr>
          <w:p>
            <w:pPr>
              <w:ind w:left="100"/>
              <w:spacing w:after="0"/>
              <w:rPr>
                <w:sz w:val="20"/>
                <w:szCs w:val="20"/>
                <w:color w:val="auto"/>
              </w:rPr>
            </w:pPr>
            <w:r>
              <w:rPr>
                <w:rFonts w:ascii="Times New Roman" w:cs="Times New Roman" w:eastAsia="Times New Roman" w:hAnsi="Times New Roman"/>
                <w:sz w:val="20"/>
                <w:szCs w:val="20"/>
                <w:color w:val="auto"/>
              </w:rPr>
              <w:t>Federal refunds</w:t>
            </w:r>
          </w:p>
        </w:tc>
        <w:tc>
          <w:tcPr>
            <w:tcW w:w="220" w:type="dxa"/>
            <w:vAlign w:val="bottom"/>
            <w:shd w:val="clear" w:color="auto" w:fill="EAEAEA"/>
          </w:tcPr>
          <w:p>
            <w:pPr>
              <w:spacing w:after="0"/>
              <w:rPr>
                <w:sz w:val="21"/>
                <w:szCs w:val="21"/>
                <w:color w:val="auto"/>
              </w:rPr>
            </w:pPr>
          </w:p>
        </w:tc>
        <w:tc>
          <w:tcPr>
            <w:tcW w:w="14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6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State income tax payments</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EAEAEA"/>
            </w:tcBorders>
            <w:shd w:val="clear" w:color="auto" w:fill="EAEAEA"/>
          </w:tcPr>
          <w:p>
            <w:pPr>
              <w:ind w:left="100"/>
              <w:spacing w:after="0"/>
              <w:rPr>
                <w:sz w:val="20"/>
                <w:szCs w:val="20"/>
                <w:color w:val="auto"/>
              </w:rPr>
            </w:pPr>
            <w:r>
              <w:rPr>
                <w:rFonts w:ascii="Times New Roman" w:cs="Times New Roman" w:eastAsia="Times New Roman" w:hAnsi="Times New Roman"/>
                <w:sz w:val="20"/>
                <w:szCs w:val="20"/>
                <w:color w:val="auto"/>
              </w:rPr>
              <w:t>State refunds</w:t>
            </w:r>
          </w:p>
        </w:tc>
        <w:tc>
          <w:tcPr>
            <w:tcW w:w="220" w:type="dxa"/>
            <w:vAlign w:val="bottom"/>
            <w:tcBorders>
              <w:bottom w:val="single" w:sz="8" w:color="auto"/>
            </w:tcBorders>
            <w:shd w:val="clear" w:color="auto" w:fill="EAEAEA"/>
          </w:tcPr>
          <w:p>
            <w:pPr>
              <w:spacing w:after="0"/>
              <w:rPr>
                <w:sz w:val="22"/>
                <w:szCs w:val="22"/>
                <w:color w:val="auto"/>
              </w:rPr>
            </w:pPr>
          </w:p>
        </w:tc>
        <w:tc>
          <w:tcPr>
            <w:tcW w:w="142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AEAEA"/>
            </w:tcBorders>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76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Total tax payments</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 (“TRA”)</w:t>
      </w:r>
    </w:p>
    <w:p>
      <w:pPr>
        <w:spacing w:after="0" w:line="120" w:lineRule="exact"/>
        <w:rPr>
          <w:sz w:val="20"/>
          <w:szCs w:val="20"/>
          <w:color w:val="auto"/>
        </w:rPr>
      </w:pPr>
    </w:p>
    <w:p>
      <w:pPr>
        <w:ind w:right="200" w:firstLine="490"/>
        <w:spacing w:after="0" w:line="247" w:lineRule="auto"/>
        <w:rPr>
          <w:sz w:val="20"/>
          <w:szCs w:val="20"/>
          <w:color w:val="auto"/>
        </w:rPr>
      </w:pPr>
      <w:r>
        <w:rPr>
          <w:rFonts w:ascii="Times New Roman" w:cs="Times New Roman" w:eastAsia="Times New Roman" w:hAnsi="Times New Roman"/>
          <w:sz w:val="20"/>
          <w:szCs w:val="20"/>
          <w:color w:val="292929"/>
        </w:rPr>
        <w:t>GEN, Inc. entered into the TRA with the Operating Company and each of the members of the Operating Company (the “Members”) that provides for the payment by GEN Inc. to the Members of 85% of the amount of tax benefits, if any, that the Company may actually realize (or in some circumstances are deemed to realize) as a result of (i) increases in tax basis resulting from any future redemptions that are funded by GEN Inc. or exchanges of Class A Common Units described above in “Note 1—Organization and Description of Business” and (ii) certain other tax benefits attributable to payments made under the TRA.</w:t>
      </w:r>
    </w:p>
    <w:p>
      <w:pPr>
        <w:spacing w:after="0" w:line="200" w:lineRule="exact"/>
        <w:rPr>
          <w:sz w:val="20"/>
          <w:szCs w:val="20"/>
          <w:color w:val="auto"/>
        </w:rPr>
      </w:pPr>
    </w:p>
    <w:p>
      <w:pPr>
        <w:ind w:right="220" w:firstLine="490"/>
        <w:spacing w:after="0" w:line="246" w:lineRule="auto"/>
        <w:rPr>
          <w:sz w:val="20"/>
          <w:szCs w:val="20"/>
          <w:color w:val="auto"/>
        </w:rPr>
      </w:pPr>
      <w:r>
        <w:rPr>
          <w:rFonts w:ascii="Times New Roman" w:cs="Times New Roman" w:eastAsia="Times New Roman" w:hAnsi="Times New Roman"/>
          <w:sz w:val="20"/>
          <w:szCs w:val="20"/>
          <w:color w:val="292929"/>
        </w:rPr>
        <w:t>The annual tax benefits are computed by calculating the income taxes due including such tax benefits, and the income taxes due without such benefits. The Operating Company expects to benefit from the remaining 15% of any tax benefits that it may actually realize. The TRA payments are not conditioned upon any continued ownership interest in the Operating Company. The rights of each noncontrolling interest holder under the TRA are assignable to transferees of its interest in the Operating Company. The timing and amount of aggregate payments due under the TRA may vary based on a number of factors, including the amount and timing of the taxable income the Operating Company generates each year and the applicable tax rate.</w:t>
      </w:r>
    </w:p>
    <w:p>
      <w:pPr>
        <w:spacing w:after="0" w:line="200" w:lineRule="exact"/>
        <w:rPr>
          <w:sz w:val="20"/>
          <w:szCs w:val="20"/>
          <w:color w:val="auto"/>
        </w:rPr>
      </w:pPr>
    </w:p>
    <w:p>
      <w:pPr>
        <w:ind w:right="360" w:firstLine="490"/>
        <w:spacing w:after="0" w:line="249" w:lineRule="auto"/>
        <w:rPr>
          <w:sz w:val="20"/>
          <w:szCs w:val="20"/>
          <w:color w:val="auto"/>
        </w:rPr>
      </w:pPr>
      <w:r>
        <w:rPr>
          <w:rFonts w:ascii="Times New Roman" w:cs="Times New Roman" w:eastAsia="Times New Roman" w:hAnsi="Times New Roman"/>
          <w:sz w:val="20"/>
          <w:szCs w:val="20"/>
          <w:color w:val="292929"/>
        </w:rPr>
        <w:t>As of December 31, 2025, the Company had a liability related to its projected obligations under the TRA of $1.1 million, which is reflected on the Company’s consolidated balance sheets in “Tax receivable agreement liability. As of December 31, 2024, the Company had a liability related to its projected obligations under the TRA of $691 thousand. During the year ended December 31, 2025, and 2024, GEN Inc. did not make any payments to members of the Operating Company pursuant to the TRA.</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92929"/>
        </w:rPr>
        <w:t>(14)  Non-Controlling Interest</w:t>
      </w:r>
    </w:p>
    <w:p>
      <w:pPr>
        <w:spacing w:after="0" w:line="124"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color w:val="292929"/>
        </w:rPr>
        <w:t>As discussed in “Note 1 – Organization and Description of Business,” the Company consolidates the financial results of the Operating Company and reports a non-controlling interest related to the Class B Common Units held by non-controlling interest holders on its consolidated statements.</w:t>
      </w:r>
    </w:p>
    <w:p>
      <w:pPr>
        <w:spacing w:after="0" w:line="188" w:lineRule="exact"/>
        <w:rPr>
          <w:sz w:val="20"/>
          <w:szCs w:val="20"/>
          <w:color w:val="auto"/>
        </w:rPr>
      </w:pPr>
    </w:p>
    <w:p>
      <w:pPr>
        <w:ind w:right="320" w:firstLine="490"/>
        <w:spacing w:after="0" w:line="247" w:lineRule="auto"/>
        <w:rPr>
          <w:sz w:val="20"/>
          <w:szCs w:val="20"/>
          <w:color w:val="auto"/>
        </w:rPr>
      </w:pPr>
      <w:r>
        <w:rPr>
          <w:rFonts w:ascii="Times New Roman" w:cs="Times New Roman" w:eastAsia="Times New Roman" w:hAnsi="Times New Roman"/>
          <w:sz w:val="20"/>
          <w:szCs w:val="20"/>
          <w:color w:val="292929"/>
        </w:rPr>
        <w:t>As of December 31, 2025, the Company owned 16.0% of the economic interests in the Operating Company, with the remaining 84.0% of the economic interest owned by non-controlling interest holders. The non-controlling interests on the accompanying consolidated statements of operations represents the portion of the income attributable to the economic interests in the Operating Company held by the non-controlling holders of Class B Common Units calculated based on the weighted average non-controlling interests’ ownership during the periods presented.</w:t>
      </w:r>
    </w:p>
    <w:p>
      <w:pPr>
        <w:sectPr>
          <w:pgSz w:w="12240" w:h="15840" w:orient="portrait"/>
          <w:cols w:equalWidth="0" w:num="1">
            <w:col w:w="9540"/>
          </w:cols>
          <w:pgMar w:left="1260" w:top="223" w:right="1440" w:bottom="6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292929"/>
        </w:rPr>
        <w:t>F-26</w:t>
      </w:r>
    </w:p>
    <w:p>
      <w:pPr>
        <w:sectPr>
          <w:pgSz w:w="12240" w:h="15840" w:orient="portrait"/>
          <w:cols w:equalWidth="0" w:num="1">
            <w:col w:w="9540"/>
          </w:cols>
          <w:pgMar w:left="1260" w:top="223" w:right="1440" w:bottom="67" w:gutter="0" w:footer="0" w:header="0"/>
          <w:type w:val="continuous"/>
        </w:sectPr>
      </w:pPr>
    </w:p>
    <w:bookmarkStart w:id="92" w:name="page93"/>
    <w:bookmarkEnd w:id="92"/>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GEN RESTAURANT GROUP, INC.</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Notes to Consolidated Financial Statements</w:t>
      </w: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December 31, 2025 and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Other Related-Party Transactions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 previously purchased food from Wise Universal Inc., an affiliate 60% owned by Mr. Chang.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years ended December 31, 2025, and 2024, the Company did not make any purchases from Wise.</w:t>
      </w:r>
    </w:p>
    <w:p>
      <w:pPr>
        <w:spacing w:after="0" w:line="212" w:lineRule="exact"/>
        <w:rPr>
          <w:sz w:val="20"/>
          <w:szCs w:val="20"/>
          <w:color w:val="auto"/>
        </w:rPr>
      </w:pPr>
    </w:p>
    <w:p>
      <w:pPr>
        <w:ind w:right="340" w:firstLine="490"/>
        <w:spacing w:after="0" w:line="277" w:lineRule="auto"/>
        <w:rPr>
          <w:sz w:val="20"/>
          <w:szCs w:val="20"/>
          <w:color w:val="auto"/>
        </w:rPr>
      </w:pPr>
      <w:r>
        <w:rPr>
          <w:rFonts w:ascii="Times New Roman" w:cs="Times New Roman" w:eastAsia="Times New Roman" w:hAnsi="Times New Roman"/>
          <w:sz w:val="20"/>
          <w:szCs w:val="20"/>
          <w:color w:val="auto"/>
        </w:rPr>
        <w:t>During the years ended December 31, 2025 and December 31, 2024, the Company paid $0 and $0, respectively to Fast Fabrications, LLC (“Fast Fabrications”), for services related to restaurant interior construction.</w:t>
      </w:r>
    </w:p>
    <w:p>
      <w:pPr>
        <w:spacing w:after="0" w:line="158" w:lineRule="exact"/>
        <w:rPr>
          <w:sz w:val="20"/>
          <w:szCs w:val="20"/>
          <w:color w:val="auto"/>
        </w:rPr>
      </w:pPr>
    </w:p>
    <w:p>
      <w:pPr>
        <w:ind w:right="260" w:firstLine="490"/>
        <w:spacing w:after="0" w:line="238" w:lineRule="auto"/>
        <w:rPr>
          <w:sz w:val="20"/>
          <w:szCs w:val="20"/>
          <w:color w:val="auto"/>
        </w:rPr>
      </w:pPr>
      <w:r>
        <w:rPr>
          <w:rFonts w:ascii="Times New Roman" w:cs="Times New Roman" w:eastAsia="Times New Roman" w:hAnsi="Times New Roman"/>
          <w:sz w:val="20"/>
          <w:szCs w:val="20"/>
          <w:color w:val="auto"/>
        </w:rPr>
        <w:t>As of December 31, 2025 and 2024, the Company had receivables of $963 thousand and $380 thousand, and payable of $281 thousand and $220 thousand with Fast Fabrications, respectively. The receivable of $963 thousand was reclassified to Prepaids for $55 thousand and CIP for $908 thousands as these are related to construction work related to stores in development for opening in 2026.</w:t>
      </w:r>
    </w:p>
    <w:p>
      <w:pPr>
        <w:spacing w:after="0" w:line="193" w:lineRule="exact"/>
        <w:rPr>
          <w:sz w:val="20"/>
          <w:szCs w:val="20"/>
          <w:color w:val="auto"/>
        </w:rPr>
      </w:pPr>
    </w:p>
    <w:p>
      <w:pPr>
        <w:ind w:right="220" w:firstLine="490"/>
        <w:spacing w:after="0" w:line="244" w:lineRule="auto"/>
        <w:rPr>
          <w:sz w:val="20"/>
          <w:szCs w:val="20"/>
          <w:color w:val="auto"/>
        </w:rPr>
      </w:pPr>
      <w:r>
        <w:rPr>
          <w:rFonts w:ascii="Times New Roman" w:cs="Times New Roman" w:eastAsia="Times New Roman" w:hAnsi="Times New Roman"/>
          <w:sz w:val="20"/>
          <w:szCs w:val="20"/>
          <w:color w:val="auto"/>
        </w:rPr>
        <w:t>In addition as of December 31, 2025 and 2024, the Company had receivables of approximately $167 thousand and $0, respectively, and payables of $0 and $0, respectively, with GEN Montclair, LP an entity controlled by the CEO. The $167 thousand was netted against professional fees accrued related to consulting fees.</w:t>
      </w:r>
    </w:p>
    <w:p>
      <w:pPr>
        <w:spacing w:after="0" w:line="187" w:lineRule="exact"/>
        <w:rPr>
          <w:sz w:val="20"/>
          <w:szCs w:val="20"/>
          <w:color w:val="auto"/>
        </w:rPr>
      </w:pPr>
    </w:p>
    <w:p>
      <w:pPr>
        <w:jc w:val="both"/>
        <w:ind w:right="360" w:firstLine="490"/>
        <w:spacing w:after="0" w:line="244" w:lineRule="auto"/>
        <w:rPr>
          <w:sz w:val="20"/>
          <w:szCs w:val="20"/>
          <w:color w:val="auto"/>
        </w:rPr>
      </w:pPr>
      <w:r>
        <w:rPr>
          <w:rFonts w:ascii="Times New Roman" w:cs="Times New Roman" w:eastAsia="Times New Roman" w:hAnsi="Times New Roman"/>
          <w:sz w:val="20"/>
          <w:szCs w:val="20"/>
          <w:color w:val="auto"/>
        </w:rPr>
        <w:t>During the years ended December 31, 2025 and 2024, the Company paid approximately $616 thousand and $466 thousand, respectively, to Ignite Enterprises, LLC (100% owned by David Kim), for reimbursement of travel and related expenses. The Company had a payable to Ignite for $41thousand as of December 31, 2025.</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Net (Loss) Income per Share</w:t>
      </w:r>
    </w:p>
    <w:p>
      <w:pPr>
        <w:spacing w:after="0" w:line="108" w:lineRule="exact"/>
        <w:rPr>
          <w:sz w:val="20"/>
          <w:szCs w:val="20"/>
          <w:color w:val="auto"/>
        </w:rPr>
      </w:pPr>
    </w:p>
    <w:p>
      <w:pPr>
        <w:ind w:right="200" w:firstLine="490"/>
        <w:spacing w:after="0" w:line="231" w:lineRule="auto"/>
        <w:rPr>
          <w:sz w:val="20"/>
          <w:szCs w:val="20"/>
          <w:color w:val="auto"/>
        </w:rPr>
      </w:pPr>
      <w:r>
        <w:rPr>
          <w:rFonts w:ascii="Times New Roman" w:cs="Times New Roman" w:eastAsia="Times New Roman" w:hAnsi="Times New Roman"/>
          <w:sz w:val="20"/>
          <w:szCs w:val="20"/>
          <w:color w:val="auto"/>
        </w:rPr>
        <w:t>Basic net (loss) income per share of Class A common stock is computed by dividing net income attributable to GEN Restaurant Group, Inc. by the weighted-average number of shares of Class A common stock outstanding during the period. Diluted net income per share of Class A common stock is computed by dividing net income attributable to GEN Inc. by the weighted-average number of shares of Class A common stock outstanding adjusted to give effect to potentially dilutive elements. Diluted net income per share for any periods for which loss per share is presented is the same as basic net income per share as the inclusion of potentially issuable shares would be antidilutive.</w:t>
      </w:r>
    </w:p>
    <w:p>
      <w:pPr>
        <w:spacing w:after="0" w:line="201" w:lineRule="exact"/>
        <w:rPr>
          <w:sz w:val="20"/>
          <w:szCs w:val="20"/>
          <w:color w:val="auto"/>
        </w:rPr>
      </w:pPr>
    </w:p>
    <w:p>
      <w:pPr>
        <w:ind w:right="480" w:firstLine="490"/>
        <w:spacing w:after="0" w:line="277" w:lineRule="auto"/>
        <w:rPr>
          <w:sz w:val="20"/>
          <w:szCs w:val="20"/>
          <w:color w:val="auto"/>
        </w:rPr>
      </w:pPr>
      <w:r>
        <w:rPr>
          <w:rFonts w:ascii="Times New Roman" w:cs="Times New Roman" w:eastAsia="Times New Roman" w:hAnsi="Times New Roman"/>
          <w:sz w:val="20"/>
          <w:szCs w:val="20"/>
          <w:color w:val="auto"/>
        </w:rPr>
        <w:t>A calculation of the numerator and denominator used in the calculation of basic and diluted net income per share of Class A common stock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 thousands, except per share data)</w:t>
            </w:r>
          </w:p>
        </w:tc>
        <w:tc>
          <w:tcPr>
            <w:tcW w:w="340" w:type="dxa"/>
            <w:vAlign w:val="bottom"/>
          </w:tcPr>
          <w:p>
            <w:pPr>
              <w:spacing w:after="0"/>
              <w:rPr>
                <w:sz w:val="17"/>
                <w:szCs w:val="17"/>
                <w:color w:val="auto"/>
              </w:rPr>
            </w:pPr>
          </w:p>
        </w:tc>
        <w:tc>
          <w:tcPr>
            <w:tcW w:w="288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93"/>
        </w:trPr>
        <w:tc>
          <w:tcPr>
            <w:tcW w:w="6140" w:type="dxa"/>
            <w:vAlign w:val="bottom"/>
            <w:vMerge w:val="continue"/>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06"/>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4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6140" w:type="dxa"/>
            <w:vAlign w:val="bottom"/>
            <w:shd w:val="clear" w:color="auto" w:fill="EAEAEA"/>
          </w:tcPr>
          <w:p>
            <w:pPr>
              <w:ind w:left="100"/>
              <w:spacing w:after="0"/>
              <w:rPr>
                <w:sz w:val="20"/>
                <w:szCs w:val="20"/>
                <w:color w:val="auto"/>
              </w:rPr>
            </w:pPr>
            <w:r>
              <w:rPr>
                <w:rFonts w:ascii="Times New Roman" w:cs="Times New Roman" w:eastAsia="Times New Roman" w:hAnsi="Times New Roman"/>
                <w:sz w:val="20"/>
                <w:szCs w:val="20"/>
                <w:color w:val="auto"/>
              </w:rPr>
              <w:t>Numerator:</w:t>
            </w:r>
          </w:p>
        </w:tc>
        <w:tc>
          <w:tcPr>
            <w:tcW w:w="340" w:type="dxa"/>
            <w:vAlign w:val="bottom"/>
            <w:shd w:val="clear" w:color="auto" w:fill="EAEAEA"/>
          </w:tcPr>
          <w:p>
            <w:pPr>
              <w:spacing w:after="0"/>
              <w:rPr>
                <w:sz w:val="21"/>
                <w:szCs w:val="21"/>
                <w:color w:val="auto"/>
              </w:rPr>
            </w:pPr>
          </w:p>
        </w:tc>
        <w:tc>
          <w:tcPr>
            <w:tcW w:w="116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360" w:type="dxa"/>
            <w:vAlign w:val="bottom"/>
            <w:shd w:val="clear" w:color="auto" w:fill="EAEAEA"/>
          </w:tcPr>
          <w:p>
            <w:pPr>
              <w:spacing w:after="0"/>
              <w:rPr>
                <w:sz w:val="21"/>
                <w:szCs w:val="21"/>
                <w:color w:val="auto"/>
              </w:rPr>
            </w:pPr>
          </w:p>
        </w:tc>
        <w:tc>
          <w:tcPr>
            <w:tcW w:w="1200" w:type="dxa"/>
            <w:vAlign w:val="bottom"/>
            <w:shd w:val="clear" w:color="auto" w:fill="EAEAEA"/>
          </w:tcPr>
          <w:p>
            <w:pPr>
              <w:spacing w:after="0"/>
              <w:rPr>
                <w:sz w:val="21"/>
                <w:szCs w:val="21"/>
                <w:color w:val="auto"/>
              </w:rPr>
            </w:pPr>
          </w:p>
        </w:tc>
        <w:tc>
          <w:tcPr>
            <w:tcW w:w="6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Net (loss) income</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(19,375)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40" w:type="dxa"/>
            <w:vAlign w:val="bottom"/>
            <w:shd w:val="clear" w:color="auto" w:fill="EAEAEA"/>
          </w:tcPr>
          <w:p>
            <w:pPr>
              <w:ind w:left="100"/>
              <w:spacing w:after="0"/>
              <w:rPr>
                <w:sz w:val="20"/>
                <w:szCs w:val="20"/>
                <w:color w:val="auto"/>
              </w:rPr>
            </w:pPr>
            <w:r>
              <w:rPr>
                <w:rFonts w:ascii="Times New Roman" w:cs="Times New Roman" w:eastAsia="Times New Roman" w:hAnsi="Times New Roman"/>
                <w:sz w:val="20"/>
                <w:szCs w:val="20"/>
                <w:color w:val="auto"/>
              </w:rPr>
              <w:t>Less: Net (loss) income attributable to non-controlling interest</w:t>
            </w:r>
          </w:p>
        </w:tc>
        <w:tc>
          <w:tcPr>
            <w:tcW w:w="340" w:type="dxa"/>
            <w:vAlign w:val="bottom"/>
            <w:shd w:val="clear" w:color="auto" w:fill="EAEAEA"/>
          </w:tcPr>
          <w:p>
            <w:pPr>
              <w:spacing w:after="0"/>
              <w:rPr>
                <w:sz w:val="21"/>
                <w:szCs w:val="21"/>
                <w:color w:val="auto"/>
              </w:rPr>
            </w:pPr>
          </w:p>
        </w:tc>
        <w:tc>
          <w:tcPr>
            <w:tcW w:w="124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(16,349)</w:t>
            </w:r>
          </w:p>
        </w:tc>
        <w:tc>
          <w:tcPr>
            <w:tcW w:w="20" w:type="dxa"/>
            <w:vAlign w:val="bottom"/>
            <w:shd w:val="clear" w:color="auto" w:fill="EAEAEA"/>
          </w:tcPr>
          <w:p>
            <w:pPr>
              <w:spacing w:after="0"/>
              <w:rPr>
                <w:sz w:val="21"/>
                <w:szCs w:val="21"/>
                <w:color w:val="auto"/>
              </w:rPr>
            </w:pPr>
          </w:p>
        </w:tc>
        <w:tc>
          <w:tcPr>
            <w:tcW w:w="360" w:type="dxa"/>
            <w:vAlign w:val="bottom"/>
            <w:shd w:val="clear" w:color="auto" w:fill="EAEAEA"/>
          </w:tcPr>
          <w:p>
            <w:pPr>
              <w:spacing w:after="0"/>
              <w:rPr>
                <w:sz w:val="21"/>
                <w:szCs w:val="21"/>
                <w:color w:val="auto"/>
              </w:rPr>
            </w:pPr>
          </w:p>
        </w:tc>
        <w:tc>
          <w:tcPr>
            <w:tcW w:w="12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3,940</w:t>
            </w:r>
          </w:p>
        </w:tc>
        <w:tc>
          <w:tcPr>
            <w:tcW w:w="6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140" w:type="dxa"/>
            <w:vAlign w:val="bottom"/>
            <w:tcBorders>
              <w:bottom w:val="single" w:sz="8" w:color="EAEAEA"/>
            </w:tcBorders>
          </w:tcPr>
          <w:p>
            <w:pPr>
              <w:ind w:left="100"/>
              <w:spacing w:after="0"/>
              <w:rPr>
                <w:sz w:val="20"/>
                <w:szCs w:val="20"/>
                <w:color w:val="auto"/>
              </w:rPr>
            </w:pPr>
            <w:r>
              <w:rPr>
                <w:rFonts w:ascii="Times New Roman" w:cs="Times New Roman" w:eastAsia="Times New Roman" w:hAnsi="Times New Roman"/>
                <w:sz w:val="20"/>
                <w:szCs w:val="20"/>
                <w:color w:val="auto"/>
              </w:rPr>
              <w:t>Net (loss) income attributable to Class A common stockholders</w:t>
            </w:r>
          </w:p>
        </w:tc>
        <w:tc>
          <w:tcPr>
            <w:tcW w:w="34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(3,026)</w:t>
            </w:r>
          </w:p>
        </w:tc>
        <w:tc>
          <w:tcPr>
            <w:tcW w:w="80" w:type="dxa"/>
            <w:vAlign w:val="bottom"/>
            <w:tcBorders>
              <w:bottom w:val="single" w:sz="8" w:color="EAEAEA"/>
            </w:tcBorders>
          </w:tcPr>
          <w:p>
            <w:pPr>
              <w:spacing w:after="0"/>
              <w:rPr>
                <w:sz w:val="20"/>
                <w:szCs w:val="20"/>
                <w:color w:val="auto"/>
              </w:rPr>
            </w:pPr>
          </w:p>
        </w:tc>
        <w:tc>
          <w:tcPr>
            <w:tcW w:w="20" w:type="dxa"/>
            <w:vAlign w:val="bottom"/>
            <w:tcBorders>
              <w:bottom w:val="single" w:sz="8" w:color="EAEAEA"/>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592</w:t>
            </w:r>
          </w:p>
        </w:tc>
        <w:tc>
          <w:tcPr>
            <w:tcW w:w="60" w:type="dxa"/>
            <w:vAlign w:val="bottom"/>
            <w:tcBorders>
              <w:bottom w:val="single" w:sz="8" w:color="EAEAEA"/>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140" w:type="dxa"/>
            <w:vAlign w:val="bottom"/>
            <w:shd w:val="clear" w:color="auto" w:fill="EAEAEA"/>
          </w:tcPr>
          <w:p>
            <w:pPr>
              <w:ind w:left="100"/>
              <w:spacing w:after="0"/>
              <w:rPr>
                <w:sz w:val="20"/>
                <w:szCs w:val="20"/>
                <w:color w:val="auto"/>
              </w:rPr>
            </w:pPr>
            <w:r>
              <w:rPr>
                <w:rFonts w:ascii="Times New Roman" w:cs="Times New Roman" w:eastAsia="Times New Roman" w:hAnsi="Times New Roman"/>
                <w:sz w:val="20"/>
                <w:szCs w:val="20"/>
                <w:color w:val="auto"/>
              </w:rPr>
              <w:t>Denominator:</w:t>
            </w:r>
          </w:p>
        </w:tc>
        <w:tc>
          <w:tcPr>
            <w:tcW w:w="340" w:type="dxa"/>
            <w:vAlign w:val="bottom"/>
            <w:shd w:val="clear" w:color="auto" w:fill="EAEAEA"/>
          </w:tcPr>
          <w:p>
            <w:pPr>
              <w:spacing w:after="0"/>
              <w:rPr>
                <w:sz w:val="20"/>
                <w:szCs w:val="20"/>
                <w:color w:val="auto"/>
              </w:rPr>
            </w:pPr>
          </w:p>
        </w:tc>
        <w:tc>
          <w:tcPr>
            <w:tcW w:w="116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360" w:type="dxa"/>
            <w:vAlign w:val="bottom"/>
            <w:shd w:val="clear" w:color="auto" w:fill="EAEAEA"/>
          </w:tcPr>
          <w:p>
            <w:pPr>
              <w:spacing w:after="0"/>
              <w:rPr>
                <w:sz w:val="20"/>
                <w:szCs w:val="20"/>
                <w:color w:val="auto"/>
              </w:rPr>
            </w:pPr>
          </w:p>
        </w:tc>
        <w:tc>
          <w:tcPr>
            <w:tcW w:w="120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14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auto"/>
              </w:rPr>
              <w:t>Weighted-average shares of Class A common stock outstanding -</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6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basic and diluted</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6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40" w:type="dxa"/>
            <w:vAlign w:val="bottom"/>
            <w:shd w:val="clear" w:color="auto" w:fill="EAEAEA"/>
          </w:tcPr>
          <w:p>
            <w:pPr>
              <w:ind w:left="200"/>
              <w:spacing w:after="0" w:line="225" w:lineRule="exact"/>
              <w:rPr>
                <w:sz w:val="20"/>
                <w:szCs w:val="20"/>
                <w:color w:val="auto"/>
              </w:rPr>
            </w:pPr>
            <w:r>
              <w:rPr>
                <w:rFonts w:ascii="Times New Roman" w:cs="Times New Roman" w:eastAsia="Times New Roman" w:hAnsi="Times New Roman"/>
                <w:sz w:val="20"/>
                <w:szCs w:val="20"/>
                <w:color w:val="auto"/>
              </w:rPr>
              <w:t>Net (loss) income per share of Class A common stock - basic and</w:t>
            </w:r>
          </w:p>
        </w:tc>
        <w:tc>
          <w:tcPr>
            <w:tcW w:w="340" w:type="dxa"/>
            <w:vAlign w:val="bottom"/>
            <w:shd w:val="clear" w:color="auto" w:fill="EAEAEA"/>
          </w:tcPr>
          <w:p>
            <w:pPr>
              <w:spacing w:after="0"/>
              <w:rPr>
                <w:sz w:val="19"/>
                <w:szCs w:val="19"/>
                <w:color w:val="auto"/>
              </w:rPr>
            </w:pPr>
          </w:p>
        </w:tc>
        <w:tc>
          <w:tcPr>
            <w:tcW w:w="116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360" w:type="dxa"/>
            <w:vAlign w:val="bottom"/>
            <w:shd w:val="clear" w:color="auto" w:fill="EAEAEA"/>
          </w:tcPr>
          <w:p>
            <w:pPr>
              <w:spacing w:after="0"/>
              <w:rPr>
                <w:sz w:val="19"/>
                <w:szCs w:val="19"/>
                <w:color w:val="auto"/>
              </w:rPr>
            </w:pPr>
          </w:p>
        </w:tc>
        <w:tc>
          <w:tcPr>
            <w:tcW w:w="120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14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diluted</w:t>
            </w:r>
          </w:p>
        </w:tc>
        <w:tc>
          <w:tcPr>
            <w:tcW w:w="340" w:type="dxa"/>
            <w:vAlign w:val="bottom"/>
            <w:shd w:val="clear" w:color="auto" w:fill="EAEAEA"/>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(0.59)</w:t>
            </w:r>
          </w:p>
        </w:tc>
        <w:tc>
          <w:tcPr>
            <w:tcW w:w="380" w:type="dxa"/>
            <w:vAlign w:val="bottom"/>
            <w:gridSpan w:val="2"/>
            <w:shd w:val="clear" w:color="auto" w:fill="EAEAEA"/>
          </w:tcPr>
          <w:p>
            <w:pPr>
              <w:jc w:val="right"/>
              <w:ind w:right="16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0.13</w:t>
            </w:r>
          </w:p>
        </w:tc>
        <w:tc>
          <w:tcPr>
            <w:tcW w:w="6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right="240" w:firstLine="490"/>
        <w:spacing w:after="0" w:line="249" w:lineRule="auto"/>
        <w:rPr>
          <w:sz w:val="20"/>
          <w:szCs w:val="20"/>
          <w:color w:val="auto"/>
        </w:rPr>
      </w:pPr>
      <w:r>
        <w:rPr>
          <w:rFonts w:ascii="Times New Roman" w:cs="Times New Roman" w:eastAsia="Times New Roman" w:hAnsi="Times New Roman"/>
          <w:sz w:val="20"/>
          <w:szCs w:val="20"/>
          <w:color w:val="auto"/>
        </w:rPr>
        <w:t>For the year ended December 31, 2025, 27,886,912 shares of Class B common stock was excluded from the weighted-average in the computation of diluted net income per share of Class A common stock because the effect would have been anti-dilutive. For the year ended December 31, 2023, 28,141,566 shares of Class B common stock was excluded from the weighted-average in the computation of diluted net income per share of Class A common stock because the effect would have been anti-dilutive.</w:t>
      </w:r>
    </w:p>
    <w:p>
      <w:pPr>
        <w:spacing w:after="0" w:line="197" w:lineRule="exact"/>
        <w:rPr>
          <w:sz w:val="20"/>
          <w:szCs w:val="20"/>
          <w:color w:val="auto"/>
        </w:rPr>
      </w:pPr>
    </w:p>
    <w:p>
      <w:pPr>
        <w:ind w:right="420" w:firstLine="490"/>
        <w:spacing w:after="0" w:line="258" w:lineRule="auto"/>
        <w:rPr>
          <w:sz w:val="20"/>
          <w:szCs w:val="20"/>
          <w:color w:val="auto"/>
        </w:rPr>
      </w:pPr>
      <w:r>
        <w:rPr>
          <w:rFonts w:ascii="Times New Roman" w:cs="Times New Roman" w:eastAsia="Times New Roman" w:hAnsi="Times New Roman"/>
          <w:sz w:val="20"/>
          <w:szCs w:val="20"/>
          <w:color w:val="auto"/>
        </w:rPr>
        <w:t>Shares of Class B common stock do not share in the earnings or losses of GEN Inc. and are therefore not participating securities. Separate calculations of basic and diluted net income per share for Class B common stock has not been presented.</w:t>
      </w:r>
    </w:p>
    <w:p>
      <w:pPr>
        <w:spacing w:after="0" w:line="24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292929"/>
        </w:rPr>
        <w:t>F-27</w:t>
      </w:r>
    </w:p>
    <w:p>
      <w:pPr>
        <w:sectPr>
          <w:pgSz w:w="12240" w:h="15840" w:orient="portrait"/>
          <w:cols w:equalWidth="0" w:num="1">
            <w:col w:w="9540"/>
          </w:cols>
          <w:pgMar w:left="1260" w:top="224" w:right="1440" w:bottom="67" w:gutter="0" w:footer="0" w:header="0"/>
        </w:sectPr>
      </w:pPr>
    </w:p>
    <w:bookmarkStart w:id="93" w:name="page94"/>
    <w:bookmarkEnd w:id="93"/>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GEN RESTAURANT GROUP, INC.</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Notes to Consolidated Financial Statements</w:t>
      </w: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December 31, 2025 and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Stock-Based Compensation</w:t>
      </w:r>
    </w:p>
    <w:p>
      <w:pPr>
        <w:spacing w:after="0" w:line="124" w:lineRule="exact"/>
        <w:rPr>
          <w:sz w:val="20"/>
          <w:szCs w:val="20"/>
          <w:color w:val="auto"/>
        </w:rPr>
      </w:pPr>
    </w:p>
    <w:p>
      <w:pPr>
        <w:ind w:right="180" w:firstLine="490"/>
        <w:spacing w:after="0" w:line="246" w:lineRule="auto"/>
        <w:rPr>
          <w:sz w:val="20"/>
          <w:szCs w:val="20"/>
          <w:color w:val="auto"/>
        </w:rPr>
      </w:pPr>
      <w:r>
        <w:rPr>
          <w:rFonts w:ascii="Times New Roman" w:cs="Times New Roman" w:eastAsia="Times New Roman" w:hAnsi="Times New Roman"/>
          <w:sz w:val="20"/>
          <w:szCs w:val="20"/>
          <w:color w:val="auto"/>
        </w:rPr>
        <w:t>In connection with the IPO, the Company granted restricted stock units (“RSUs”) to certain team members that generally vest on the five year anniversary of the grant date, or over a five year period with vesting of 20% each year. The non-employee directors of the Company received RSUs that vest on the first anniversary of the grant date, subject to the grantee's continued service through the vesting period, or upon termination from the Board of Directors for any reason other than for cause, a pro rated portion of the shares vest on the termination date. The employee grants vest in increments over a five year period. The total stock based compensation for the each of the years ended December 31, 2025 and 2024, was $3.0 million and is included in general and administrative expenses.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260" w:type="dxa"/>
            <w:vAlign w:val="bottom"/>
          </w:tcPr>
          <w:p>
            <w:pPr>
              <w:spacing w:after="0"/>
              <w:rPr>
                <w:sz w:val="21"/>
                <w:szCs w:val="21"/>
                <w:color w:val="auto"/>
              </w:rPr>
            </w:pPr>
          </w:p>
        </w:tc>
        <w:tc>
          <w:tcPr>
            <w:tcW w:w="3100" w:type="dxa"/>
            <w:vAlign w:val="bottom"/>
            <w:gridSpan w:val="5"/>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For the year ended December 31,</w:t>
            </w:r>
          </w:p>
        </w:tc>
      </w:tr>
      <w:tr>
        <w:trPr>
          <w:trHeight w:val="253"/>
        </w:trPr>
        <w:tc>
          <w:tcPr>
            <w:tcW w:w="626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20"/>
                <w:szCs w:val="20"/>
                <w:b w:val="1"/>
                <w:bCs w:val="1"/>
                <w:color w:val="auto"/>
              </w:rPr>
              <w:t xml:space="preserve">RSUs </w:t>
            </w:r>
            <w:r>
              <w:rPr>
                <w:rFonts w:ascii="Times New Roman" w:cs="Times New Roman" w:eastAsia="Times New Roman" w:hAnsi="Times New Roman"/>
                <w:sz w:val="20"/>
                <w:szCs w:val="20"/>
                <w:b w:val="1"/>
                <w:bCs w:val="1"/>
                <w:i w:val="1"/>
                <w:iCs w:val="1"/>
                <w:color w:val="auto"/>
              </w:rPr>
              <w:t>(in thousands)</w:t>
            </w:r>
          </w:p>
        </w:tc>
        <w:tc>
          <w:tcPr>
            <w:tcW w:w="13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Borders>
              <w:bottom w:val="single" w:sz="8" w:color="EAEAEA"/>
            </w:tcBorders>
          </w:tcPr>
          <w:p>
            <w:pPr>
              <w:spacing w:after="0"/>
              <w:rPr>
                <w:sz w:val="22"/>
                <w:szCs w:val="22"/>
                <w:color w:val="auto"/>
              </w:rPr>
            </w:pPr>
          </w:p>
        </w:tc>
        <w:tc>
          <w:tcPr>
            <w:tcW w:w="158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Borders>
              <w:bottom w:val="single" w:sz="8" w:color="EAEAEA"/>
            </w:tcBorders>
          </w:tcPr>
          <w:p>
            <w:pPr>
              <w:spacing w:after="0"/>
              <w:rPr>
                <w:sz w:val="22"/>
                <w:szCs w:val="22"/>
                <w:color w:val="auto"/>
              </w:rPr>
            </w:pPr>
          </w:p>
        </w:tc>
      </w:tr>
      <w:tr>
        <w:trPr>
          <w:trHeight w:val="278"/>
        </w:trPr>
        <w:tc>
          <w:tcPr>
            <w:tcW w:w="6260" w:type="dxa"/>
            <w:vAlign w:val="bottom"/>
            <w:shd w:val="clear" w:color="auto" w:fill="EAEAEA"/>
          </w:tcPr>
          <w:p>
            <w:pPr>
              <w:ind w:left="100"/>
              <w:spacing w:after="0"/>
              <w:rPr>
                <w:sz w:val="20"/>
                <w:szCs w:val="20"/>
                <w:color w:val="auto"/>
              </w:rPr>
            </w:pPr>
            <w:r>
              <w:rPr>
                <w:rFonts w:ascii="Times New Roman" w:cs="Times New Roman" w:eastAsia="Times New Roman" w:hAnsi="Times New Roman"/>
                <w:sz w:val="20"/>
                <w:szCs w:val="20"/>
                <w:color w:val="auto"/>
              </w:rPr>
              <w:t>Non-vested - beginning</w:t>
            </w:r>
          </w:p>
        </w:tc>
        <w:tc>
          <w:tcPr>
            <w:tcW w:w="13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928</w:t>
            </w:r>
          </w:p>
        </w:tc>
        <w:tc>
          <w:tcPr>
            <w:tcW w:w="100" w:type="dxa"/>
            <w:vAlign w:val="bottom"/>
            <w:shd w:val="clear" w:color="auto" w:fill="EAEAEA"/>
          </w:tcPr>
          <w:p>
            <w:pPr>
              <w:spacing w:after="0"/>
              <w:rPr>
                <w:sz w:val="24"/>
                <w:szCs w:val="24"/>
                <w:color w:val="auto"/>
              </w:rPr>
            </w:pPr>
          </w:p>
        </w:tc>
        <w:tc>
          <w:tcPr>
            <w:tcW w:w="158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1,209</w:t>
            </w:r>
          </w:p>
        </w:tc>
        <w:tc>
          <w:tcPr>
            <w:tcW w:w="80" w:type="dxa"/>
            <w:vAlign w:val="bottom"/>
            <w:shd w:val="clear" w:color="auto" w:fill="EAEAEA"/>
          </w:tcPr>
          <w:p>
            <w:pPr>
              <w:spacing w:after="0"/>
              <w:rPr>
                <w:sz w:val="24"/>
                <w:szCs w:val="24"/>
                <w:color w:val="auto"/>
              </w:rPr>
            </w:pPr>
          </w:p>
        </w:tc>
      </w:tr>
      <w:tr>
        <w:trPr>
          <w:trHeight w:val="283"/>
        </w:trPr>
        <w:tc>
          <w:tcPr>
            <w:tcW w:w="62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83"/>
        </w:trPr>
        <w:tc>
          <w:tcPr>
            <w:tcW w:w="6260" w:type="dxa"/>
            <w:vAlign w:val="bottom"/>
            <w:shd w:val="clear" w:color="auto" w:fill="EAEAEA"/>
          </w:tcPr>
          <w:p>
            <w:pPr>
              <w:ind w:left="100"/>
              <w:spacing w:after="0"/>
              <w:rPr>
                <w:sz w:val="20"/>
                <w:szCs w:val="20"/>
                <w:color w:val="auto"/>
              </w:rPr>
            </w:pPr>
            <w:r>
              <w:rPr>
                <w:rFonts w:ascii="Times New Roman" w:cs="Times New Roman" w:eastAsia="Times New Roman" w:hAnsi="Times New Roman"/>
                <w:sz w:val="20"/>
                <w:szCs w:val="20"/>
                <w:color w:val="auto"/>
              </w:rPr>
              <w:t>Vested</w:t>
            </w:r>
          </w:p>
        </w:tc>
        <w:tc>
          <w:tcPr>
            <w:tcW w:w="144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(296)</w:t>
            </w:r>
          </w:p>
        </w:tc>
        <w:tc>
          <w:tcPr>
            <w:tcW w:w="1660" w:type="dxa"/>
            <w:vAlign w:val="bottom"/>
            <w:gridSpan w:val="3"/>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(281)</w:t>
            </w:r>
          </w:p>
        </w:tc>
      </w:tr>
      <w:tr>
        <w:trPr>
          <w:trHeight w:val="283"/>
        </w:trPr>
        <w:tc>
          <w:tcPr>
            <w:tcW w:w="62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Canceled</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4"/>
                <w:szCs w:val="24"/>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98"/>
        </w:trPr>
        <w:tc>
          <w:tcPr>
            <w:tcW w:w="6260" w:type="dxa"/>
            <w:vAlign w:val="bottom"/>
            <w:tcBorders>
              <w:top w:val="single" w:sz="8" w:color="EAEAEA"/>
              <w:bottom w:val="single" w:sz="8" w:color="EAEAEA"/>
            </w:tcBorders>
            <w:shd w:val="clear" w:color="auto" w:fill="EAEAEA"/>
          </w:tcPr>
          <w:p>
            <w:pPr>
              <w:ind w:left="100"/>
              <w:spacing w:after="0"/>
              <w:rPr>
                <w:sz w:val="20"/>
                <w:szCs w:val="20"/>
                <w:color w:val="auto"/>
              </w:rPr>
            </w:pPr>
            <w:r>
              <w:rPr>
                <w:rFonts w:ascii="Times New Roman" w:cs="Times New Roman" w:eastAsia="Times New Roman" w:hAnsi="Times New Roman"/>
                <w:sz w:val="20"/>
                <w:szCs w:val="20"/>
                <w:color w:val="auto"/>
              </w:rPr>
              <w:t>Non-vested - ending</w:t>
            </w:r>
          </w:p>
        </w:tc>
        <w:tc>
          <w:tcPr>
            <w:tcW w:w="134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696</w:t>
            </w:r>
          </w:p>
        </w:tc>
        <w:tc>
          <w:tcPr>
            <w:tcW w:w="100" w:type="dxa"/>
            <w:vAlign w:val="bottom"/>
            <w:tcBorders>
              <w:top w:val="single" w:sz="8" w:color="EAEAEA"/>
              <w:bottom w:val="single" w:sz="8" w:color="EAEAEA"/>
            </w:tcBorders>
            <w:shd w:val="clear" w:color="auto" w:fill="EAEAEA"/>
          </w:tcPr>
          <w:p>
            <w:pPr>
              <w:spacing w:after="0"/>
              <w:rPr>
                <w:sz w:val="24"/>
                <w:szCs w:val="24"/>
                <w:color w:val="auto"/>
              </w:rPr>
            </w:pPr>
          </w:p>
        </w:tc>
        <w:tc>
          <w:tcPr>
            <w:tcW w:w="240" w:type="dxa"/>
            <w:vAlign w:val="bottom"/>
            <w:tcBorders>
              <w:top w:val="single" w:sz="8" w:color="EAEAEA"/>
              <w:bottom w:val="single" w:sz="8" w:color="EAEAEA"/>
            </w:tcBorders>
            <w:shd w:val="clear" w:color="auto" w:fill="EAEAEA"/>
          </w:tcPr>
          <w:p>
            <w:pPr>
              <w:spacing w:after="0"/>
              <w:rPr>
                <w:sz w:val="24"/>
                <w:szCs w:val="24"/>
                <w:color w:val="auto"/>
              </w:rPr>
            </w:pPr>
          </w:p>
        </w:tc>
        <w:tc>
          <w:tcPr>
            <w:tcW w:w="134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928</w:t>
            </w:r>
          </w:p>
        </w:tc>
        <w:tc>
          <w:tcPr>
            <w:tcW w:w="80" w:type="dxa"/>
            <w:vAlign w:val="bottom"/>
            <w:tcBorders>
              <w:top w:val="single" w:sz="8" w:color="EAEAEA"/>
              <w:bottom w:val="single" w:sz="8" w:color="EAEAEA"/>
            </w:tcBorders>
            <w:shd w:val="clear" w:color="auto" w:fill="EAEAEA"/>
          </w:tcPr>
          <w:p>
            <w:pPr>
              <w:spacing w:after="0"/>
              <w:rPr>
                <w:sz w:val="24"/>
                <w:szCs w:val="24"/>
                <w:color w:val="auto"/>
              </w:rPr>
            </w:pPr>
          </w:p>
        </w:tc>
      </w:tr>
      <w:tr>
        <w:trPr>
          <w:trHeight w:val="20"/>
        </w:trPr>
        <w:tc>
          <w:tcPr>
            <w:tcW w:w="6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00" w:firstLine="490"/>
        <w:spacing w:after="0" w:line="247" w:lineRule="auto"/>
        <w:rPr>
          <w:sz w:val="20"/>
          <w:szCs w:val="20"/>
          <w:color w:val="auto"/>
        </w:rPr>
      </w:pPr>
      <w:r>
        <w:rPr>
          <w:rFonts w:ascii="Times New Roman" w:cs="Times New Roman" w:eastAsia="Times New Roman" w:hAnsi="Times New Roman"/>
          <w:sz w:val="20"/>
          <w:szCs w:val="20"/>
          <w:color w:val="auto"/>
        </w:rPr>
        <w:t>The aggregate fair value of the RSUs granted during the years ended December 31, 2025 and 2024 was $99 thousand and $0, respectively. The unrecognized stock-based compensation of $7.4 million as of December 31, 2025, will be recognized through July 2028. The Company issued 372,600 (or 9% of the shares of common stock sold in the offering) warrants in connection with the IPO to the underwriters. The warrants expire five years after the effective date of the registration and can be exercised on a cashless basis. As a result, the conversion of some or all of the warrants may dilute the ownership interests of existing shareholders.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Cash Paid for Common Stock Purchased</w:t>
      </w:r>
    </w:p>
    <w:p>
      <w:pPr>
        <w:spacing w:after="0" w:line="124" w:lineRule="exact"/>
        <w:rPr>
          <w:sz w:val="20"/>
          <w:szCs w:val="20"/>
          <w:color w:val="auto"/>
        </w:rPr>
      </w:pPr>
    </w:p>
    <w:p>
      <w:pPr>
        <w:ind w:left="480" w:right="440" w:firstLine="490"/>
        <w:spacing w:after="0" w:line="258" w:lineRule="auto"/>
        <w:rPr>
          <w:sz w:val="20"/>
          <w:szCs w:val="20"/>
          <w:color w:val="auto"/>
        </w:rPr>
      </w:pPr>
      <w:r>
        <w:rPr>
          <w:rFonts w:ascii="Times New Roman" w:cs="Times New Roman" w:eastAsia="Times New Roman" w:hAnsi="Times New Roman"/>
          <w:sz w:val="20"/>
          <w:szCs w:val="20"/>
          <w:color w:val="auto"/>
        </w:rPr>
        <w:t>The Company has a stock buyback program to repurchase up to $5.0 million worth of the Company’s outstanding Class A common stock. During the year ended December 31, 2025, the company purchased 33,388 shares of Class A common stock for a total of $201 thousand.</w:t>
      </w:r>
    </w:p>
    <w:p>
      <w:pPr>
        <w:spacing w:after="0" w:line="188" w:lineRule="exact"/>
        <w:rPr>
          <w:sz w:val="20"/>
          <w:szCs w:val="20"/>
          <w:color w:val="auto"/>
        </w:rPr>
      </w:pPr>
    </w:p>
    <w:p>
      <w:pPr>
        <w:jc w:val="both"/>
        <w:ind w:left="480" w:right="240" w:firstLine="490"/>
        <w:spacing w:after="0" w:line="258" w:lineRule="auto"/>
        <w:rPr>
          <w:sz w:val="20"/>
          <w:szCs w:val="20"/>
          <w:color w:val="auto"/>
        </w:rPr>
      </w:pPr>
      <w:r>
        <w:rPr>
          <w:rFonts w:ascii="Times New Roman" w:cs="Times New Roman" w:eastAsia="Times New Roman" w:hAnsi="Times New Roman"/>
          <w:sz w:val="20"/>
          <w:szCs w:val="20"/>
          <w:color w:val="auto"/>
        </w:rPr>
        <w:t>The stock repurchase program does not obligate the Company to acquire any particular amount of Class A common stock, and it may be suspended or discontinued at any time. A summary of Class A common stock repurchases for the year ended December 31, 2025 is as follows:</w:t>
      </w:r>
    </w:p>
    <w:p>
      <w:pPr>
        <w:spacing w:after="0" w:line="200" w:lineRule="exact"/>
        <w:rPr>
          <w:sz w:val="20"/>
          <w:szCs w:val="20"/>
          <w:color w:val="auto"/>
        </w:rPr>
      </w:pPr>
    </w:p>
    <w:p>
      <w:pPr>
        <w:spacing w:after="0" w:line="353"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3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w:t>
            </w:r>
          </w:p>
        </w:tc>
        <w:tc>
          <w:tcPr>
            <w:tcW w:w="380" w:type="dxa"/>
            <w:vAlign w:val="bottom"/>
          </w:tcPr>
          <w:p>
            <w:pPr>
              <w:spacing w:after="0"/>
              <w:rPr>
                <w:sz w:val="16"/>
                <w:szCs w:val="16"/>
                <w:color w:val="auto"/>
              </w:rPr>
            </w:pP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Approximate</w:t>
            </w:r>
          </w:p>
        </w:tc>
      </w:tr>
      <w:tr>
        <w:trPr>
          <w:trHeight w:val="184"/>
        </w:trPr>
        <w:tc>
          <w:tcPr>
            <w:tcW w:w="3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380" w:type="dxa"/>
            <w:vAlign w:val="bottom"/>
          </w:tcPr>
          <w:p>
            <w:pPr>
              <w:spacing w:after="0"/>
              <w:rPr>
                <w:sz w:val="16"/>
                <w:szCs w:val="16"/>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Dollar Value</w:t>
            </w:r>
          </w:p>
        </w:tc>
      </w:tr>
      <w:tr>
        <w:trPr>
          <w:trHeight w:val="184"/>
        </w:trPr>
        <w:tc>
          <w:tcPr>
            <w:tcW w:w="3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of Shares</w:t>
            </w:r>
          </w:p>
        </w:tc>
      </w:tr>
      <w:tr>
        <w:trPr>
          <w:trHeight w:val="184"/>
        </w:trPr>
        <w:tc>
          <w:tcPr>
            <w:tcW w:w="3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Part of</w:t>
            </w:r>
          </w:p>
        </w:tc>
        <w:tc>
          <w:tcPr>
            <w:tcW w:w="380" w:type="dxa"/>
            <w:vAlign w:val="bottom"/>
          </w:tcPr>
          <w:p>
            <w:pPr>
              <w:spacing w:after="0"/>
              <w:rPr>
                <w:sz w:val="16"/>
                <w:szCs w:val="16"/>
                <w:color w:val="auto"/>
              </w:rPr>
            </w:pP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that May Yet</w:t>
            </w:r>
          </w:p>
        </w:tc>
      </w:tr>
      <w:tr>
        <w:trPr>
          <w:trHeight w:val="184"/>
        </w:trPr>
        <w:tc>
          <w:tcPr>
            <w:tcW w:w="3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w:t>
            </w:r>
          </w:p>
        </w:tc>
        <w:tc>
          <w:tcPr>
            <w:tcW w:w="500" w:type="dxa"/>
            <w:vAlign w:val="bottom"/>
          </w:tcPr>
          <w:p>
            <w:pPr>
              <w:spacing w:after="0"/>
              <w:rPr>
                <w:sz w:val="16"/>
                <w:szCs w:val="16"/>
                <w:color w:val="auto"/>
              </w:rPr>
            </w:pPr>
          </w:p>
        </w:tc>
        <w:tc>
          <w:tcPr>
            <w:tcW w:w="1280" w:type="dxa"/>
            <w:vAlign w:val="bottom"/>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Publicly</w:t>
            </w:r>
          </w:p>
        </w:tc>
        <w:tc>
          <w:tcPr>
            <w:tcW w:w="380" w:type="dxa"/>
            <w:vAlign w:val="bottom"/>
          </w:tcPr>
          <w:p>
            <w:pPr>
              <w:spacing w:after="0"/>
              <w:rPr>
                <w:sz w:val="16"/>
                <w:szCs w:val="16"/>
                <w:color w:val="auto"/>
              </w:rPr>
            </w:pP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Be Purchased</w:t>
            </w:r>
          </w:p>
        </w:tc>
      </w:tr>
      <w:tr>
        <w:trPr>
          <w:trHeight w:val="184"/>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share and per share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of Shares</w:t>
            </w:r>
          </w:p>
        </w:tc>
        <w:tc>
          <w:tcPr>
            <w:tcW w:w="500" w:type="dxa"/>
            <w:vAlign w:val="bottom"/>
          </w:tcPr>
          <w:p>
            <w:pPr>
              <w:spacing w:after="0"/>
              <w:rPr>
                <w:sz w:val="16"/>
                <w:szCs w:val="16"/>
                <w:color w:val="auto"/>
              </w:rPr>
            </w:pPr>
          </w:p>
        </w:tc>
        <w:tc>
          <w:tcPr>
            <w:tcW w:w="1280" w:type="dxa"/>
            <w:vAlign w:val="bottom"/>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Price Paid</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Announced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Under the</w:t>
            </w: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data)</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500" w:type="dxa"/>
            <w:vAlign w:val="bottom"/>
          </w:tcPr>
          <w:p>
            <w:pPr>
              <w:spacing w:after="0"/>
              <w:rPr>
                <w:sz w:val="17"/>
                <w:szCs w:val="17"/>
                <w:color w:val="auto"/>
              </w:rPr>
            </w:pPr>
          </w:p>
        </w:tc>
        <w:tc>
          <w:tcPr>
            <w:tcW w:w="1280" w:type="dxa"/>
            <w:vAlign w:val="bottom"/>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040" w:type="dxa"/>
            <w:vAlign w:val="bottom"/>
          </w:tcPr>
          <w:p>
            <w:pPr>
              <w:jc w:val="center"/>
              <w:spacing w:after="0" w:line="204" w:lineRule="exact"/>
              <w:rPr>
                <w:sz w:val="20"/>
                <w:szCs w:val="20"/>
                <w:color w:val="auto"/>
              </w:rPr>
            </w:pPr>
            <w:r>
              <w:rPr>
                <w:rFonts w:ascii="Times New Roman" w:cs="Times New Roman" w:eastAsia="Times New Roman" w:hAnsi="Times New Roman"/>
                <w:sz w:val="16"/>
                <w:szCs w:val="16"/>
                <w:b w:val="1"/>
                <w:bCs w:val="1"/>
                <w:color w:val="auto"/>
                <w:w w:val="94"/>
              </w:rPr>
              <w:t xml:space="preserve">Programs </w:t>
            </w:r>
            <w:r>
              <w:rPr>
                <w:rFonts w:ascii="Times New Roman" w:cs="Times New Roman" w:eastAsia="Times New Roman" w:hAnsi="Times New Roman"/>
                <w:sz w:val="20"/>
                <w:szCs w:val="20"/>
                <w:b w:val="1"/>
                <w:bCs w:val="1"/>
                <w:color w:val="auto"/>
                <w:w w:val="94"/>
                <w:vertAlign w:val="superscript"/>
              </w:rPr>
              <w:t>(1)</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Programs</w:t>
            </w:r>
          </w:p>
        </w:tc>
      </w:tr>
      <w:tr>
        <w:trPr>
          <w:trHeight w:val="198"/>
        </w:trPr>
        <w:tc>
          <w:tcPr>
            <w:tcW w:w="3120" w:type="dxa"/>
            <w:vAlign w:val="bottom"/>
            <w:shd w:val="clear" w:color="auto" w:fill="EAEAEA"/>
          </w:tcPr>
          <w:p>
            <w:pPr>
              <w:spacing w:after="0"/>
              <w:rPr>
                <w:sz w:val="20"/>
                <w:szCs w:val="20"/>
                <w:color w:val="auto"/>
              </w:rPr>
            </w:pPr>
            <w:r>
              <w:rPr>
                <w:rFonts w:ascii="Times New Roman" w:cs="Times New Roman" w:eastAsia="Times New Roman" w:hAnsi="Times New Roman"/>
                <w:sz w:val="16"/>
                <w:szCs w:val="16"/>
                <w:color w:val="auto"/>
              </w:rPr>
              <w:t>January 1, 2025 thru March 31, 2025</w:t>
            </w:r>
          </w:p>
        </w:tc>
        <w:tc>
          <w:tcPr>
            <w:tcW w:w="1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rPr>
              <w:t>33,388</w:t>
            </w:r>
          </w:p>
        </w:tc>
        <w:tc>
          <w:tcPr>
            <w:tcW w:w="5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EAEAEA"/>
          </w:tcPr>
          <w:p>
            <w:pPr>
              <w:jc w:val="right"/>
              <w:ind w:right="320"/>
              <w:spacing w:after="0"/>
              <w:rPr>
                <w:sz w:val="20"/>
                <w:szCs w:val="20"/>
                <w:color w:val="auto"/>
              </w:rPr>
            </w:pPr>
            <w:r>
              <w:rPr>
                <w:rFonts w:ascii="Times New Roman" w:cs="Times New Roman" w:eastAsia="Times New Roman" w:hAnsi="Times New Roman"/>
                <w:sz w:val="16"/>
                <w:szCs w:val="16"/>
                <w:color w:val="auto"/>
              </w:rPr>
              <w:t>5.94</w:t>
            </w:r>
          </w:p>
        </w:tc>
        <w:tc>
          <w:tcPr>
            <w:tcW w:w="1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rPr>
              <w:t>33,388</w:t>
            </w:r>
          </w:p>
        </w:tc>
        <w:tc>
          <w:tcPr>
            <w:tcW w:w="50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rPr>
              <w:t>4,800</w:t>
            </w:r>
          </w:p>
        </w:tc>
        <w:tc>
          <w:tcPr>
            <w:tcW w:w="60" w:type="dxa"/>
            <w:vAlign w:val="bottom"/>
            <w:shd w:val="clear" w:color="auto" w:fill="EAEAEA"/>
          </w:tcPr>
          <w:p>
            <w:pPr>
              <w:spacing w:after="0"/>
              <w:rPr>
                <w:sz w:val="17"/>
                <w:szCs w:val="17"/>
                <w:color w:val="auto"/>
              </w:rPr>
            </w:pPr>
          </w:p>
        </w:tc>
      </w:tr>
      <w:tr>
        <w:trPr>
          <w:trHeight w:val="198"/>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April 1, 2025 thru June 30, 2025</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7"/>
                <w:szCs w:val="17"/>
                <w:color w:val="auto"/>
              </w:rPr>
            </w:pPr>
          </w:p>
        </w:tc>
        <w:tc>
          <w:tcPr>
            <w:tcW w:w="128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3120" w:type="dxa"/>
            <w:vAlign w:val="bottom"/>
            <w:shd w:val="clear" w:color="auto" w:fill="EAEAEA"/>
          </w:tcPr>
          <w:p>
            <w:pPr>
              <w:spacing w:after="0"/>
              <w:rPr>
                <w:sz w:val="20"/>
                <w:szCs w:val="20"/>
                <w:color w:val="auto"/>
              </w:rPr>
            </w:pPr>
            <w:r>
              <w:rPr>
                <w:rFonts w:ascii="Times New Roman" w:cs="Times New Roman" w:eastAsia="Times New Roman" w:hAnsi="Times New Roman"/>
                <w:sz w:val="16"/>
                <w:szCs w:val="16"/>
                <w:color w:val="auto"/>
              </w:rPr>
              <w:t>July 1, 2025 thru September 30, 2025</w:t>
            </w:r>
          </w:p>
        </w:tc>
        <w:tc>
          <w:tcPr>
            <w:tcW w:w="1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EAEAEA"/>
          </w:tcPr>
          <w:p>
            <w:pPr>
              <w:spacing w:after="0"/>
              <w:rPr>
                <w:sz w:val="17"/>
                <w:szCs w:val="17"/>
                <w:color w:val="auto"/>
              </w:rPr>
            </w:pPr>
          </w:p>
        </w:tc>
        <w:tc>
          <w:tcPr>
            <w:tcW w:w="1280" w:type="dxa"/>
            <w:vAlign w:val="bottom"/>
            <w:shd w:val="clear" w:color="auto" w:fill="EAEAEA"/>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960" w:type="dxa"/>
            <w:vAlign w:val="bottom"/>
            <w:gridSpan w:val="2"/>
            <w:shd w:val="clear" w:color="auto" w:fill="EAEAEA"/>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October 1, 2025 thru December 31, 2025</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7"/>
                <w:szCs w:val="17"/>
                <w:color w:val="auto"/>
              </w:rPr>
            </w:pPr>
          </w:p>
        </w:tc>
        <w:tc>
          <w:tcPr>
            <w:tcW w:w="128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193"/>
        </w:trPr>
        <w:tc>
          <w:tcPr>
            <w:tcW w:w="3120" w:type="dxa"/>
            <w:vAlign w:val="bottom"/>
            <w:tcBorders>
              <w:top w:val="single" w:sz="8" w:color="EAEAEA"/>
            </w:tcBorders>
            <w:shd w:val="clear" w:color="auto" w:fill="EAEAEA"/>
          </w:tcPr>
          <w:p>
            <w:pPr>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rPr>
              <w:t>33,388</w:t>
            </w:r>
          </w:p>
        </w:tc>
        <w:tc>
          <w:tcPr>
            <w:tcW w:w="500" w:type="dxa"/>
            <w:vAlign w:val="bottom"/>
            <w:tcBorders>
              <w:top w:val="single" w:sz="8" w:color="EAEAEA"/>
            </w:tcBorders>
            <w:shd w:val="clear" w:color="auto" w:fill="EAEAEA"/>
          </w:tcPr>
          <w:p>
            <w:pPr>
              <w:spacing w:after="0"/>
              <w:rPr>
                <w:sz w:val="16"/>
                <w:szCs w:val="16"/>
                <w:color w:val="auto"/>
              </w:rPr>
            </w:pPr>
          </w:p>
        </w:tc>
        <w:tc>
          <w:tcPr>
            <w:tcW w:w="1280" w:type="dxa"/>
            <w:vAlign w:val="bottom"/>
            <w:tcBorders>
              <w:top w:val="single" w:sz="8" w:color="EAEAEA"/>
            </w:tcBorders>
            <w:shd w:val="clear" w:color="auto" w:fill="EAEAEA"/>
          </w:tcPr>
          <w:p>
            <w:pPr>
              <w:spacing w:after="0"/>
              <w:rPr>
                <w:sz w:val="16"/>
                <w:szCs w:val="16"/>
                <w:color w:val="auto"/>
              </w:rPr>
            </w:pPr>
          </w:p>
        </w:tc>
        <w:tc>
          <w:tcPr>
            <w:tcW w:w="104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rPr>
              <w:t>33,388</w:t>
            </w:r>
          </w:p>
        </w:tc>
        <w:tc>
          <w:tcPr>
            <w:tcW w:w="380" w:type="dxa"/>
            <w:vAlign w:val="bottom"/>
            <w:tcBorders>
              <w:top w:val="single" w:sz="8" w:color="EAEAEA"/>
            </w:tcBorders>
            <w:shd w:val="clear" w:color="auto" w:fill="EAEAEA"/>
          </w:tcPr>
          <w:p>
            <w:pPr>
              <w:spacing w:after="0"/>
              <w:rPr>
                <w:sz w:val="16"/>
                <w:szCs w:val="16"/>
                <w:color w:val="auto"/>
              </w:rPr>
            </w:pPr>
          </w:p>
        </w:tc>
        <w:tc>
          <w:tcPr>
            <w:tcW w:w="120" w:type="dxa"/>
            <w:vAlign w:val="bottom"/>
            <w:tcBorders>
              <w:top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rPr>
              <w:t>4,800</w:t>
            </w:r>
          </w:p>
        </w:tc>
        <w:tc>
          <w:tcPr>
            <w:tcW w:w="60" w:type="dxa"/>
            <w:vAlign w:val="bottom"/>
            <w:tcBorders>
              <w:top w:val="single" w:sz="8" w:color="EAEAEA"/>
            </w:tcBorders>
            <w:shd w:val="clear" w:color="auto" w:fill="EAEAEA"/>
          </w:tcPr>
          <w:p>
            <w:pPr>
              <w:spacing w:after="0"/>
              <w:rPr>
                <w:sz w:val="16"/>
                <w:szCs w:val="16"/>
                <w:color w:val="auto"/>
              </w:rPr>
            </w:pPr>
          </w:p>
        </w:tc>
      </w:tr>
      <w:tr>
        <w:trPr>
          <w:trHeight w:val="20"/>
        </w:trPr>
        <w:tc>
          <w:tcPr>
            <w:tcW w:w="3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 Segment Information</w:t>
      </w:r>
    </w:p>
    <w:p>
      <w:pPr>
        <w:spacing w:after="0" w:line="124" w:lineRule="exact"/>
        <w:rPr>
          <w:sz w:val="20"/>
          <w:szCs w:val="20"/>
          <w:color w:val="auto"/>
        </w:rPr>
      </w:pPr>
    </w:p>
    <w:p>
      <w:pPr>
        <w:ind w:right="240" w:firstLine="490"/>
        <w:spacing w:after="0" w:line="252" w:lineRule="auto"/>
        <w:rPr>
          <w:sz w:val="20"/>
          <w:szCs w:val="20"/>
          <w:color w:val="auto"/>
        </w:rPr>
      </w:pPr>
      <w:r>
        <w:rPr>
          <w:rFonts w:ascii="Times New Roman" w:cs="Times New Roman" w:eastAsia="Times New Roman" w:hAnsi="Times New Roman"/>
          <w:sz w:val="20"/>
          <w:szCs w:val="20"/>
          <w:color w:val="auto"/>
        </w:rPr>
        <w:t>The Company operates 57 Gen Korean BBQ restaurants in the United States and South Korea. The CODM is the Chief Executive Officer. The Company determined it has one reportable segment, as the CODM regularly reviews restaurant operations and financial performance at a consolidated level. The CODM uses net income to allocate resources (including labor, technology and capital resources) for the single segment to make decisions</w:t>
      </w:r>
    </w:p>
    <w:p>
      <w:pPr>
        <w:spacing w:after="0" w:line="24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292929"/>
        </w:rPr>
        <w:t>F-28</w:t>
      </w:r>
    </w:p>
    <w:p>
      <w:pPr>
        <w:sectPr>
          <w:pgSz w:w="12240" w:h="15840" w:orient="portrait"/>
          <w:cols w:equalWidth="0" w:num="1">
            <w:col w:w="9540"/>
          </w:cols>
          <w:pgMar w:left="1260" w:top="224" w:right="1440" w:bottom="67" w:gutter="0" w:footer="0" w:header="0"/>
        </w:sectPr>
      </w:pPr>
    </w:p>
    <w:bookmarkStart w:id="94" w:name="page95"/>
    <w:bookmarkEnd w:id="94"/>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GEN RESTAURANT GROUP, INC.</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Notes to Consolidated Financial Statements</w:t>
      </w:r>
    </w:p>
    <w:p>
      <w:pPr>
        <w:jc w:val="center"/>
        <w:ind w:right="180"/>
        <w:spacing w:after="0"/>
        <w:rPr>
          <w:sz w:val="20"/>
          <w:szCs w:val="20"/>
          <w:color w:val="auto"/>
        </w:rPr>
      </w:pPr>
      <w:r>
        <w:rPr>
          <w:rFonts w:ascii="Times New Roman" w:cs="Times New Roman" w:eastAsia="Times New Roman" w:hAnsi="Times New Roman"/>
          <w:sz w:val="20"/>
          <w:szCs w:val="20"/>
          <w:b w:val="1"/>
          <w:bCs w:val="1"/>
          <w:color w:val="292929"/>
        </w:rPr>
        <w:t>December 31, 2025 and 2024</w:t>
      </w:r>
    </w:p>
    <w:p>
      <w:pPr>
        <w:spacing w:after="0" w:line="295" w:lineRule="exact"/>
        <w:rPr>
          <w:sz w:val="20"/>
          <w:szCs w:val="20"/>
          <w:color w:val="auto"/>
        </w:rPr>
      </w:pPr>
    </w:p>
    <w:p>
      <w:pPr>
        <w:ind w:right="1080"/>
        <w:spacing w:after="0" w:line="277" w:lineRule="auto"/>
        <w:rPr>
          <w:sz w:val="20"/>
          <w:szCs w:val="20"/>
          <w:color w:val="auto"/>
        </w:rPr>
      </w:pPr>
      <w:r>
        <w:rPr>
          <w:rFonts w:ascii="Times New Roman" w:cs="Times New Roman" w:eastAsia="Times New Roman" w:hAnsi="Times New Roman"/>
          <w:sz w:val="20"/>
          <w:szCs w:val="20"/>
          <w:color w:val="auto"/>
        </w:rPr>
        <w:t>regarding annual budget, new restaurant openings, entering new geographic markets, landlord and vendor negotiation, marketing decisions, pursuing new business ventures, and driving the Company’s mission.</w:t>
      </w:r>
    </w:p>
    <w:p>
      <w:pPr>
        <w:spacing w:after="0" w:line="316" w:lineRule="exact"/>
        <w:rPr>
          <w:sz w:val="20"/>
          <w:szCs w:val="20"/>
          <w:color w:val="auto"/>
        </w:rPr>
      </w:pPr>
    </w:p>
    <w:tbl>
      <w:tblPr>
        <w:tblLayout w:type="fixed"/>
        <w:tblInd w:w="460" w:type="dxa"/>
        <w:tblCellMar>
          <w:top w:w="0" w:type="dxa"/>
          <w:left w:w="0" w:type="dxa"/>
          <w:bottom w:w="0" w:type="dxa"/>
          <w:right w:w="0" w:type="dxa"/>
        </w:tblCellMar>
      </w:tblPr>
      <w:tr>
        <w:trPr>
          <w:trHeight w:val="221"/>
        </w:trPr>
        <w:tc>
          <w:tcPr>
            <w:tcW w:w="4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40" w:type="dxa"/>
            <w:vAlign w:val="bottom"/>
            <w:gridSpan w:val="6"/>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50"/>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1"/>
                <w:szCs w:val="21"/>
                <w:color w:val="auto"/>
              </w:rPr>
            </w:pPr>
          </w:p>
        </w:tc>
      </w:tr>
      <w:tr>
        <w:trPr>
          <w:trHeight w:val="239"/>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4"/>
        </w:trPr>
        <w:tc>
          <w:tcPr>
            <w:tcW w:w="47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Segment revenue</w:t>
            </w:r>
          </w:p>
        </w:tc>
        <w:tc>
          <w:tcPr>
            <w:tcW w:w="600" w:type="dxa"/>
            <w:vAlign w:val="bottom"/>
            <w:gridSpan w:val="3"/>
            <w:shd w:val="clear" w:color="auto" w:fill="EAEAEA"/>
          </w:tcPr>
          <w:p>
            <w:pPr>
              <w:jc w:val="right"/>
              <w:ind w:right="155"/>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212,541</w:t>
            </w:r>
          </w:p>
        </w:tc>
        <w:tc>
          <w:tcPr>
            <w:tcW w:w="200" w:type="dxa"/>
            <w:vAlign w:val="bottom"/>
            <w:shd w:val="clear" w:color="auto" w:fill="EAEAEA"/>
          </w:tcPr>
          <w:p>
            <w:pPr>
              <w:spacing w:after="0"/>
              <w:rPr>
                <w:sz w:val="21"/>
                <w:szCs w:val="21"/>
                <w:color w:val="auto"/>
              </w:rPr>
            </w:pPr>
          </w:p>
        </w:tc>
        <w:tc>
          <w:tcPr>
            <w:tcW w:w="500" w:type="dxa"/>
            <w:vAlign w:val="bottom"/>
            <w:gridSpan w:val="2"/>
            <w:shd w:val="clear" w:color="auto" w:fill="EAEAEA"/>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208,380</w:t>
            </w:r>
          </w:p>
        </w:tc>
        <w:tc>
          <w:tcPr>
            <w:tcW w:w="100" w:type="dxa"/>
            <w:vAlign w:val="bottom"/>
            <w:shd w:val="clear" w:color="auto" w:fill="EAEAEA"/>
          </w:tcPr>
          <w:p>
            <w:pPr>
              <w:spacing w:after="0"/>
              <w:rPr>
                <w:sz w:val="21"/>
                <w:szCs w:val="21"/>
                <w:color w:val="auto"/>
              </w:rPr>
            </w:pPr>
          </w:p>
        </w:tc>
      </w:tr>
      <w:tr>
        <w:trPr>
          <w:trHeight w:val="244"/>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Less:</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47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Food cost</w:t>
            </w:r>
          </w:p>
        </w:tc>
        <w:tc>
          <w:tcPr>
            <w:tcW w:w="26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11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73,790</w:t>
            </w:r>
          </w:p>
        </w:tc>
        <w:tc>
          <w:tcPr>
            <w:tcW w:w="20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360" w:type="dxa"/>
            <w:vAlign w:val="bottom"/>
            <w:shd w:val="clear" w:color="auto" w:fill="EAEAEA"/>
          </w:tcPr>
          <w:p>
            <w:pPr>
              <w:spacing w:after="0"/>
              <w:rPr>
                <w:sz w:val="21"/>
                <w:szCs w:val="21"/>
                <w:color w:val="auto"/>
              </w:rPr>
            </w:pPr>
          </w:p>
        </w:tc>
        <w:tc>
          <w:tcPr>
            <w:tcW w:w="11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68,730</w:t>
            </w:r>
          </w:p>
        </w:tc>
        <w:tc>
          <w:tcPr>
            <w:tcW w:w="100" w:type="dxa"/>
            <w:vAlign w:val="bottom"/>
            <w:shd w:val="clear" w:color="auto" w:fill="EAEAEA"/>
          </w:tcPr>
          <w:p>
            <w:pPr>
              <w:spacing w:after="0"/>
              <w:rPr>
                <w:sz w:val="21"/>
                <w:szCs w:val="21"/>
                <w:color w:val="auto"/>
              </w:rPr>
            </w:pPr>
          </w:p>
        </w:tc>
      </w:tr>
      <w:tr>
        <w:trPr>
          <w:trHeight w:val="244"/>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Payroll and benefits</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64,943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64,322</w:t>
            </w:r>
          </w:p>
        </w:tc>
        <w:tc>
          <w:tcPr>
            <w:tcW w:w="100" w:type="dxa"/>
            <w:vAlign w:val="bottom"/>
          </w:tcPr>
          <w:p>
            <w:pPr>
              <w:spacing w:after="0"/>
              <w:rPr>
                <w:sz w:val="21"/>
                <w:szCs w:val="21"/>
                <w:color w:val="auto"/>
              </w:rPr>
            </w:pPr>
          </w:p>
        </w:tc>
      </w:tr>
      <w:tr>
        <w:trPr>
          <w:trHeight w:val="244"/>
        </w:trPr>
        <w:tc>
          <w:tcPr>
            <w:tcW w:w="47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Occupancy expenses</w:t>
            </w:r>
          </w:p>
        </w:tc>
        <w:tc>
          <w:tcPr>
            <w:tcW w:w="26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11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21,197</w:t>
            </w:r>
          </w:p>
        </w:tc>
        <w:tc>
          <w:tcPr>
            <w:tcW w:w="20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360" w:type="dxa"/>
            <w:vAlign w:val="bottom"/>
            <w:shd w:val="clear" w:color="auto" w:fill="EAEAEA"/>
          </w:tcPr>
          <w:p>
            <w:pPr>
              <w:spacing w:after="0"/>
              <w:rPr>
                <w:sz w:val="21"/>
                <w:szCs w:val="21"/>
                <w:color w:val="auto"/>
              </w:rPr>
            </w:pPr>
          </w:p>
        </w:tc>
        <w:tc>
          <w:tcPr>
            <w:tcW w:w="11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17,524</w:t>
            </w:r>
          </w:p>
        </w:tc>
        <w:tc>
          <w:tcPr>
            <w:tcW w:w="100" w:type="dxa"/>
            <w:vAlign w:val="bottom"/>
            <w:shd w:val="clear" w:color="auto" w:fill="EAEAEA"/>
          </w:tcPr>
          <w:p>
            <w:pPr>
              <w:spacing w:after="0"/>
              <w:rPr>
                <w:sz w:val="21"/>
                <w:szCs w:val="21"/>
                <w:color w:val="auto"/>
              </w:rPr>
            </w:pPr>
          </w:p>
        </w:tc>
      </w:tr>
      <w:tr>
        <w:trPr>
          <w:trHeight w:val="244"/>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24,176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21,538</w:t>
            </w:r>
          </w:p>
        </w:tc>
        <w:tc>
          <w:tcPr>
            <w:tcW w:w="100" w:type="dxa"/>
            <w:vAlign w:val="bottom"/>
          </w:tcPr>
          <w:p>
            <w:pPr>
              <w:spacing w:after="0"/>
              <w:rPr>
                <w:sz w:val="21"/>
                <w:szCs w:val="21"/>
                <w:color w:val="auto"/>
              </w:rPr>
            </w:pPr>
          </w:p>
        </w:tc>
      </w:tr>
      <w:tr>
        <w:trPr>
          <w:trHeight w:val="244"/>
        </w:trPr>
        <w:tc>
          <w:tcPr>
            <w:tcW w:w="47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6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11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9,120</w:t>
            </w:r>
          </w:p>
        </w:tc>
        <w:tc>
          <w:tcPr>
            <w:tcW w:w="20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360" w:type="dxa"/>
            <w:vAlign w:val="bottom"/>
            <w:shd w:val="clear" w:color="auto" w:fill="EAEAEA"/>
          </w:tcPr>
          <w:p>
            <w:pPr>
              <w:spacing w:after="0"/>
              <w:rPr>
                <w:sz w:val="21"/>
                <w:szCs w:val="21"/>
                <w:color w:val="auto"/>
              </w:rPr>
            </w:pPr>
          </w:p>
        </w:tc>
        <w:tc>
          <w:tcPr>
            <w:tcW w:w="11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6,735</w:t>
            </w:r>
          </w:p>
        </w:tc>
        <w:tc>
          <w:tcPr>
            <w:tcW w:w="100" w:type="dxa"/>
            <w:vAlign w:val="bottom"/>
            <w:shd w:val="clear" w:color="auto" w:fill="EAEAEA"/>
          </w:tcPr>
          <w:p>
            <w:pPr>
              <w:spacing w:after="0"/>
              <w:rPr>
                <w:sz w:val="21"/>
                <w:szCs w:val="21"/>
                <w:color w:val="auto"/>
              </w:rPr>
            </w:pPr>
          </w:p>
        </w:tc>
      </w:tr>
      <w:tr>
        <w:trPr>
          <w:trHeight w:val="244"/>
        </w:trPr>
        <w:tc>
          <w:tcPr>
            <w:tcW w:w="470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20"/>
                <w:szCs w:val="20"/>
                <w:color w:val="auto"/>
              </w:rPr>
              <w:t>Pre-opening costs</w:t>
            </w:r>
          </w:p>
        </w:tc>
        <w:tc>
          <w:tcPr>
            <w:tcW w:w="260" w:type="dxa"/>
            <w:vAlign w:val="bottom"/>
            <w:tcBorders>
              <w:bottom w:val="single" w:sz="8" w:color="EAEAEA"/>
            </w:tcBorders>
          </w:tcPr>
          <w:p>
            <w:pPr>
              <w:spacing w:after="0"/>
              <w:rPr>
                <w:sz w:val="21"/>
                <w:szCs w:val="21"/>
                <w:color w:val="auto"/>
              </w:rPr>
            </w:pPr>
          </w:p>
        </w:tc>
        <w:tc>
          <w:tcPr>
            <w:tcW w:w="20" w:type="dxa"/>
            <w:vAlign w:val="bottom"/>
            <w:tcBorders>
              <w:bottom w:val="single" w:sz="8" w:color="EAEAEA"/>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8,317</w:t>
            </w:r>
          </w:p>
        </w:tc>
        <w:tc>
          <w:tcPr>
            <w:tcW w:w="200" w:type="dxa"/>
            <w:vAlign w:val="bottom"/>
            <w:tcBorders>
              <w:bottom w:val="single" w:sz="8" w:color="EAEAEA"/>
            </w:tcBorders>
          </w:tcPr>
          <w:p>
            <w:pPr>
              <w:spacing w:after="0"/>
              <w:rPr>
                <w:sz w:val="21"/>
                <w:szCs w:val="21"/>
                <w:color w:val="auto"/>
              </w:rPr>
            </w:pPr>
          </w:p>
        </w:tc>
        <w:tc>
          <w:tcPr>
            <w:tcW w:w="140" w:type="dxa"/>
            <w:vAlign w:val="bottom"/>
            <w:tcBorders>
              <w:bottom w:val="single" w:sz="8" w:color="EAEAEA"/>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7,607</w:t>
            </w:r>
          </w:p>
        </w:tc>
        <w:tc>
          <w:tcPr>
            <w:tcW w:w="100" w:type="dxa"/>
            <w:vAlign w:val="bottom"/>
            <w:tcBorders>
              <w:bottom w:val="single" w:sz="8" w:color="EAEAEA"/>
            </w:tcBorders>
          </w:tcPr>
          <w:p>
            <w:pPr>
              <w:spacing w:after="0"/>
              <w:rPr>
                <w:sz w:val="21"/>
                <w:szCs w:val="21"/>
                <w:color w:val="auto"/>
              </w:rPr>
            </w:pPr>
          </w:p>
        </w:tc>
      </w:tr>
      <w:tr>
        <w:trPr>
          <w:trHeight w:val="259"/>
        </w:trPr>
        <w:tc>
          <w:tcPr>
            <w:tcW w:w="4700" w:type="dxa"/>
            <w:vAlign w:val="bottom"/>
            <w:tcBorders>
              <w:bottom w:val="single" w:sz="8" w:color="EAEAEA"/>
            </w:tcBorders>
            <w:shd w:val="clear" w:color="auto" w:fill="EAEAEA"/>
          </w:tcPr>
          <w:p>
            <w:pPr>
              <w:spacing w:after="0"/>
              <w:rPr>
                <w:sz w:val="20"/>
                <w:szCs w:val="20"/>
                <w:color w:val="auto"/>
              </w:rPr>
            </w:pPr>
            <w:r>
              <w:rPr>
                <w:rFonts w:ascii="Times New Roman" w:cs="Times New Roman" w:eastAsia="Times New Roman" w:hAnsi="Times New Roman"/>
                <w:sz w:val="20"/>
                <w:szCs w:val="20"/>
                <w:color w:val="auto"/>
              </w:rPr>
              <w:t>Segment Income from Operations</w:t>
            </w:r>
          </w:p>
        </w:tc>
        <w:tc>
          <w:tcPr>
            <w:tcW w:w="260" w:type="dxa"/>
            <w:vAlign w:val="bottom"/>
            <w:tcBorders>
              <w:bottom w:val="single" w:sz="8" w:color="EAEAEA"/>
            </w:tcBorders>
            <w:shd w:val="clear" w:color="auto" w:fill="EAEAEA"/>
          </w:tcPr>
          <w:p>
            <w:pPr>
              <w:spacing w:after="0"/>
              <w:rPr>
                <w:sz w:val="22"/>
                <w:szCs w:val="22"/>
                <w:color w:val="auto"/>
              </w:rPr>
            </w:pPr>
          </w:p>
        </w:tc>
        <w:tc>
          <w:tcPr>
            <w:tcW w:w="20" w:type="dxa"/>
            <w:vAlign w:val="bottom"/>
            <w:tcBorders>
              <w:bottom w:val="single" w:sz="8" w:color="EAEAEA"/>
            </w:tcBorders>
            <w:shd w:val="clear" w:color="auto" w:fill="EAEAEA"/>
          </w:tcPr>
          <w:p>
            <w:pPr>
              <w:spacing w:after="0"/>
              <w:rPr>
                <w:sz w:val="22"/>
                <w:szCs w:val="22"/>
                <w:color w:val="auto"/>
              </w:rPr>
            </w:pPr>
          </w:p>
        </w:tc>
        <w:tc>
          <w:tcPr>
            <w:tcW w:w="320" w:type="dxa"/>
            <w:vAlign w:val="bottom"/>
            <w:tcBorders>
              <w:bottom w:val="single" w:sz="8" w:color="auto"/>
            </w:tcBorders>
            <w:shd w:val="clear" w:color="auto" w:fill="EAEAEA"/>
          </w:tcPr>
          <w:p>
            <w:pPr>
              <w:spacing w:after="0"/>
              <w:rPr>
                <w:sz w:val="22"/>
                <w:szCs w:val="22"/>
                <w:color w:val="auto"/>
              </w:rPr>
            </w:pPr>
          </w:p>
        </w:tc>
        <w:tc>
          <w:tcPr>
            <w:tcW w:w="118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10,998</w:t>
            </w:r>
          </w:p>
        </w:tc>
        <w:tc>
          <w:tcPr>
            <w:tcW w:w="200" w:type="dxa"/>
            <w:vAlign w:val="bottom"/>
            <w:tcBorders>
              <w:bottom w:val="single" w:sz="8" w:color="EAEAEA"/>
            </w:tcBorders>
            <w:shd w:val="clear" w:color="auto" w:fill="EAEAEA"/>
          </w:tcPr>
          <w:p>
            <w:pPr>
              <w:spacing w:after="0"/>
              <w:rPr>
                <w:sz w:val="22"/>
                <w:szCs w:val="22"/>
                <w:color w:val="auto"/>
              </w:rPr>
            </w:pPr>
          </w:p>
        </w:tc>
        <w:tc>
          <w:tcPr>
            <w:tcW w:w="140" w:type="dxa"/>
            <w:vAlign w:val="bottom"/>
            <w:tcBorders>
              <w:bottom w:val="single" w:sz="8" w:color="EAEAEA"/>
            </w:tcBorders>
            <w:shd w:val="clear" w:color="auto" w:fill="EAEAEA"/>
          </w:tcPr>
          <w:p>
            <w:pPr>
              <w:spacing w:after="0"/>
              <w:rPr>
                <w:sz w:val="22"/>
                <w:szCs w:val="22"/>
                <w:color w:val="auto"/>
              </w:rPr>
            </w:pPr>
          </w:p>
        </w:tc>
        <w:tc>
          <w:tcPr>
            <w:tcW w:w="360" w:type="dxa"/>
            <w:vAlign w:val="bottom"/>
            <w:tcBorders>
              <w:bottom w:val="single" w:sz="8" w:color="auto"/>
            </w:tcBorders>
            <w:shd w:val="clear" w:color="auto" w:fill="EAEAEA"/>
          </w:tcPr>
          <w:p>
            <w:pPr>
              <w:spacing w:after="0"/>
              <w:rPr>
                <w:sz w:val="22"/>
                <w:szCs w:val="22"/>
                <w:color w:val="auto"/>
              </w:rPr>
            </w:pPr>
          </w:p>
        </w:tc>
        <w:tc>
          <w:tcPr>
            <w:tcW w:w="116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21,924</w:t>
            </w:r>
          </w:p>
        </w:tc>
        <w:tc>
          <w:tcPr>
            <w:tcW w:w="100" w:type="dxa"/>
            <w:vAlign w:val="bottom"/>
            <w:tcBorders>
              <w:bottom w:val="single" w:sz="8" w:color="EAEAEA"/>
            </w:tcBorders>
            <w:shd w:val="clear" w:color="auto" w:fill="EAEAEA"/>
          </w:tcPr>
          <w:p>
            <w:pPr>
              <w:spacing w:after="0"/>
              <w:rPr>
                <w:sz w:val="22"/>
                <w:szCs w:val="22"/>
                <w:color w:val="auto"/>
              </w:rPr>
            </w:pPr>
          </w:p>
        </w:tc>
      </w:tr>
      <w:tr>
        <w:trPr>
          <w:trHeight w:val="219"/>
        </w:trPr>
        <w:tc>
          <w:tcPr>
            <w:tcW w:w="470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Reconciliation:</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4"/>
        </w:trPr>
        <w:tc>
          <w:tcPr>
            <w:tcW w:w="4700" w:type="dxa"/>
            <w:vAlign w:val="bottom"/>
            <w:shd w:val="clear" w:color="auto" w:fill="EAEAEA"/>
          </w:tcPr>
          <w:p>
            <w:pPr>
              <w:ind w:left="26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6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11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25,935</w:t>
            </w:r>
          </w:p>
        </w:tc>
        <w:tc>
          <w:tcPr>
            <w:tcW w:w="20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360" w:type="dxa"/>
            <w:vAlign w:val="bottom"/>
            <w:shd w:val="clear" w:color="auto" w:fill="EAEAEA"/>
          </w:tcPr>
          <w:p>
            <w:pPr>
              <w:spacing w:after="0"/>
              <w:rPr>
                <w:sz w:val="21"/>
                <w:szCs w:val="21"/>
                <w:color w:val="auto"/>
              </w:rPr>
            </w:pPr>
          </w:p>
        </w:tc>
        <w:tc>
          <w:tcPr>
            <w:tcW w:w="11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21,326</w:t>
            </w:r>
          </w:p>
        </w:tc>
        <w:tc>
          <w:tcPr>
            <w:tcW w:w="100" w:type="dxa"/>
            <w:vAlign w:val="bottom"/>
            <w:shd w:val="clear" w:color="auto" w:fill="EAEAEA"/>
          </w:tcPr>
          <w:p>
            <w:pPr>
              <w:spacing w:after="0"/>
              <w:rPr>
                <w:sz w:val="21"/>
                <w:szCs w:val="21"/>
                <w:color w:val="auto"/>
              </w:rPr>
            </w:pPr>
          </w:p>
        </w:tc>
      </w:tr>
      <w:tr>
        <w:trPr>
          <w:trHeight w:val="244"/>
        </w:trPr>
        <w:tc>
          <w:tcPr>
            <w:tcW w:w="47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Impairment expense</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5,527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4700" w:type="dxa"/>
            <w:vAlign w:val="bottom"/>
            <w:shd w:val="clear" w:color="auto" w:fill="EAEAEA"/>
          </w:tcPr>
          <w:p>
            <w:pPr>
              <w:ind w:left="260"/>
              <w:spacing w:after="0"/>
              <w:rPr>
                <w:sz w:val="20"/>
                <w:szCs w:val="20"/>
                <w:color w:val="auto"/>
              </w:rPr>
            </w:pPr>
            <w:r>
              <w:rPr>
                <w:rFonts w:ascii="Times New Roman" w:cs="Times New Roman" w:eastAsia="Times New Roman" w:hAnsi="Times New Roman"/>
                <w:sz w:val="20"/>
                <w:szCs w:val="20"/>
                <w:color w:val="auto"/>
              </w:rPr>
              <w:t>Gain on lease terminations</w:t>
            </w:r>
          </w:p>
        </w:tc>
        <w:tc>
          <w:tcPr>
            <w:tcW w:w="26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1380" w:type="dxa"/>
            <w:vAlign w:val="bottom"/>
            <w:gridSpan w:val="2"/>
            <w:shd w:val="clear" w:color="auto" w:fill="EAEAEA"/>
          </w:tcPr>
          <w:p>
            <w:pPr>
              <w:jc w:val="right"/>
              <w:ind w:right="140"/>
              <w:spacing w:after="0"/>
              <w:rPr>
                <w:sz w:val="20"/>
                <w:szCs w:val="20"/>
                <w:color w:val="auto"/>
              </w:rPr>
            </w:pPr>
            <w:r>
              <w:rPr>
                <w:rFonts w:ascii="Times New Roman" w:cs="Times New Roman" w:eastAsia="Times New Roman" w:hAnsi="Times New Roman"/>
                <w:sz w:val="20"/>
                <w:szCs w:val="20"/>
                <w:color w:val="auto"/>
              </w:rPr>
              <w:t>(471)</w:t>
            </w:r>
          </w:p>
        </w:tc>
        <w:tc>
          <w:tcPr>
            <w:tcW w:w="140" w:type="dxa"/>
            <w:vAlign w:val="bottom"/>
            <w:shd w:val="clear" w:color="auto" w:fill="EAEAEA"/>
          </w:tcPr>
          <w:p>
            <w:pPr>
              <w:spacing w:after="0"/>
              <w:rPr>
                <w:sz w:val="21"/>
                <w:szCs w:val="21"/>
                <w:color w:val="auto"/>
              </w:rPr>
            </w:pPr>
          </w:p>
        </w:tc>
        <w:tc>
          <w:tcPr>
            <w:tcW w:w="360" w:type="dxa"/>
            <w:vAlign w:val="bottom"/>
            <w:shd w:val="clear" w:color="auto" w:fill="EAEAEA"/>
          </w:tcPr>
          <w:p>
            <w:pPr>
              <w:spacing w:after="0"/>
              <w:rPr>
                <w:sz w:val="21"/>
                <w:szCs w:val="21"/>
                <w:color w:val="auto"/>
              </w:rPr>
            </w:pPr>
          </w:p>
        </w:tc>
        <w:tc>
          <w:tcPr>
            <w:tcW w:w="1260" w:type="dxa"/>
            <w:vAlign w:val="bottom"/>
            <w:gridSpan w:val="2"/>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47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Gain on remeasurement of previously held interest</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(3,402)</w:t>
            </w:r>
          </w:p>
        </w:tc>
      </w:tr>
      <w:tr>
        <w:trPr>
          <w:trHeight w:val="244"/>
        </w:trPr>
        <w:tc>
          <w:tcPr>
            <w:tcW w:w="470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Interest expense (income), net</w:t>
            </w:r>
          </w:p>
        </w:tc>
        <w:tc>
          <w:tcPr>
            <w:tcW w:w="26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11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232</w:t>
            </w:r>
          </w:p>
        </w:tc>
        <w:tc>
          <w:tcPr>
            <w:tcW w:w="20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360" w:type="dxa"/>
            <w:vAlign w:val="bottom"/>
            <w:shd w:val="clear" w:color="auto" w:fill="EAEAEA"/>
          </w:tcPr>
          <w:p>
            <w:pPr>
              <w:spacing w:after="0"/>
              <w:rPr>
                <w:sz w:val="21"/>
                <w:szCs w:val="21"/>
                <w:color w:val="auto"/>
              </w:rPr>
            </w:pPr>
          </w:p>
        </w:tc>
        <w:tc>
          <w:tcPr>
            <w:tcW w:w="126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(829)</w:t>
            </w:r>
          </w:p>
        </w:tc>
      </w:tr>
      <w:tr>
        <w:trPr>
          <w:trHeight w:val="244"/>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Other costs</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100" w:type="dxa"/>
            <w:vAlign w:val="bottom"/>
          </w:tcPr>
          <w:p>
            <w:pPr>
              <w:spacing w:after="0"/>
              <w:rPr>
                <w:sz w:val="21"/>
                <w:szCs w:val="21"/>
                <w:color w:val="auto"/>
              </w:rPr>
            </w:pPr>
          </w:p>
        </w:tc>
      </w:tr>
      <w:tr>
        <w:trPr>
          <w:trHeight w:val="244"/>
        </w:trPr>
        <w:tc>
          <w:tcPr>
            <w:tcW w:w="47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Loss on foreign currency</w:t>
            </w:r>
          </w:p>
        </w:tc>
        <w:tc>
          <w:tcPr>
            <w:tcW w:w="26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11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20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360" w:type="dxa"/>
            <w:vAlign w:val="bottom"/>
            <w:shd w:val="clear" w:color="auto" w:fill="EAEAEA"/>
          </w:tcPr>
          <w:p>
            <w:pPr>
              <w:spacing w:after="0"/>
              <w:rPr>
                <w:sz w:val="21"/>
                <w:szCs w:val="21"/>
                <w:color w:val="auto"/>
              </w:rPr>
            </w:pPr>
          </w:p>
        </w:tc>
        <w:tc>
          <w:tcPr>
            <w:tcW w:w="1260" w:type="dxa"/>
            <w:vAlign w:val="bottom"/>
            <w:gridSpan w:val="2"/>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38"/>
        </w:trPr>
        <w:tc>
          <w:tcPr>
            <w:tcW w:w="4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Employee retention credits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(313)</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(199)</w:t>
            </w:r>
          </w:p>
        </w:tc>
      </w:tr>
      <w:tr>
        <w:trPr>
          <w:trHeight w:val="249"/>
        </w:trPr>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Equity in loss of equity method investee</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100" w:type="dxa"/>
            <w:vAlign w:val="bottom"/>
          </w:tcPr>
          <w:p>
            <w:pPr>
              <w:spacing w:after="0"/>
              <w:rPr>
                <w:sz w:val="21"/>
                <w:szCs w:val="21"/>
                <w:color w:val="auto"/>
              </w:rPr>
            </w:pPr>
          </w:p>
        </w:tc>
      </w:tr>
      <w:tr>
        <w:trPr>
          <w:trHeight w:val="239"/>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Net (loss) income before taxes</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(20,305)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4,889</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 Subsequent Events</w:t>
      </w:r>
    </w:p>
    <w:p>
      <w:pPr>
        <w:spacing w:after="0" w:line="124" w:lineRule="exact"/>
        <w:rPr>
          <w:sz w:val="20"/>
          <w:szCs w:val="20"/>
          <w:color w:val="auto"/>
        </w:rPr>
      </w:pPr>
    </w:p>
    <w:p>
      <w:pPr>
        <w:ind w:right="260" w:firstLine="490"/>
        <w:spacing w:after="0" w:line="277" w:lineRule="auto"/>
        <w:rPr>
          <w:sz w:val="20"/>
          <w:szCs w:val="20"/>
          <w:color w:val="auto"/>
        </w:rPr>
      </w:pPr>
      <w:r>
        <w:rPr>
          <w:rFonts w:ascii="Times New Roman" w:cs="Times New Roman" w:eastAsia="Times New Roman" w:hAnsi="Times New Roman"/>
          <w:sz w:val="20"/>
          <w:szCs w:val="20"/>
          <w:color w:val="auto"/>
        </w:rPr>
        <w:t>The Company and its related parties evaluated subsequent events from the balance sheet date through the date at which the consolidated financial statements were issued.</w:t>
      </w:r>
    </w:p>
    <w:p>
      <w:pPr>
        <w:spacing w:after="0" w:line="2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Line of Credit</w:t>
      </w:r>
    </w:p>
    <w:p>
      <w:pPr>
        <w:spacing w:after="0" w:line="124" w:lineRule="exact"/>
        <w:rPr>
          <w:sz w:val="20"/>
          <w:szCs w:val="20"/>
          <w:color w:val="auto"/>
        </w:rPr>
      </w:pPr>
    </w:p>
    <w:p>
      <w:pPr>
        <w:ind w:right="680" w:firstLine="490"/>
        <w:spacing w:after="0" w:line="277" w:lineRule="auto"/>
        <w:rPr>
          <w:sz w:val="20"/>
          <w:szCs w:val="20"/>
          <w:color w:val="auto"/>
        </w:rPr>
      </w:pPr>
      <w:r>
        <w:rPr>
          <w:rFonts w:ascii="Times New Roman" w:cs="Times New Roman" w:eastAsia="Times New Roman" w:hAnsi="Times New Roman"/>
          <w:sz w:val="20"/>
          <w:szCs w:val="20"/>
          <w:color w:val="auto"/>
        </w:rPr>
        <w:t>On January 12, 2026, the Company paid the $1.0 million line of credit with Pacific City Bank, including interest of $2 thousand.</w:t>
      </w:r>
    </w:p>
    <w:p>
      <w:pPr>
        <w:spacing w:after="0" w:line="2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Store Opening</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 opened two restaurants in Tucson, AZ and Denton, TX during January and March of 2026.</w:t>
      </w:r>
    </w:p>
    <w:p>
      <w:pPr>
        <w:spacing w:after="0" w:line="3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Partnership Agreement</w:t>
      </w:r>
    </w:p>
    <w:p>
      <w:pPr>
        <w:spacing w:after="0" w:line="124"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auto"/>
        </w:rPr>
        <w:t>On March 24, 2026, the Company entered into a partnership agreement with Chubby Cattle, Inc., related to five of its existing restaurants. The Company will contribute most of the assets of each restaurant in exchange for a 49% ownership in new restaurant. In connection with this transaction, the Company has recorded an asset reserve of approximately $4.0 million as of December 31, 2025.</w:t>
      </w:r>
    </w:p>
    <w:p>
      <w:pPr>
        <w:sectPr>
          <w:pgSz w:w="12240" w:h="15840" w:orient="portrait"/>
          <w:cols w:equalWidth="0" w:num="1">
            <w:col w:w="9540"/>
          </w:cols>
          <w:pgMar w:left="1260" w:top="224" w:right="1440" w:bottom="6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292929"/>
        </w:rPr>
        <w:t>F-29</w:t>
      </w:r>
    </w:p>
    <w:p>
      <w:pPr>
        <w:sectPr>
          <w:pgSz w:w="12240" w:h="15840" w:orient="portrait"/>
          <w:cols w:equalWidth="0" w:num="1">
            <w:col w:w="9540"/>
          </w:cols>
          <w:pgMar w:left="1260" w:top="224" w:right="1440" w:bottom="67" w:gutter="0" w:footer="0" w:header="0"/>
          <w:type w:val="continuous"/>
        </w:sectPr>
      </w:pPr>
    </w:p>
    <w:bookmarkStart w:id="95" w:name="page96"/>
    <w:bookmarkEnd w:id="95"/>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200001F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շ"/>
      <w:numFmt w:val="bullet"/>
      <w:start w:val="1"/>
    </w:lvl>
  </w:abstractNum>
  <w:abstractNum w:abstractNumId="1">
    <w:nsid w:val="2901D82"/>
    <w:multiLevelType w:val="hybridMultilevel"/>
    <w:lvl w:ilvl="0">
      <w:lvlJc w:val="left"/>
      <w:lvlText w:val="ն"/>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1."/>
      <w:numFmt w:val="upperLetter"/>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1)"/>
      <w:numFmt w:val="lowerLetter"/>
      <w:start w:val="1"/>
    </w:lvl>
    <w:lvl w:ilvl="1">
      <w:lvlJc w:val="left"/>
      <w:lvlText w:val="(%2)"/>
      <w:numFmt w:val="decimal"/>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1)"/>
      <w:numFmt w:val="decimal"/>
      <w:start w:val="2"/>
    </w:lvl>
    <w:lvl w:ilvl="1">
      <w:lvlJc w:val="left"/>
      <w:lvlText w:val="(%2)"/>
      <w:numFmt w:val="lowerLetter"/>
      <w:start w:val="1"/>
    </w:lvl>
  </w:abstractNum>
  <w:abstractNum w:abstractNumId="27">
    <w:nsid w:val="70A64E2A"/>
    <w:multiLevelType w:val="hybridMultilevel"/>
    <w:lvl w:ilvl="0">
      <w:lvlJc w:val="left"/>
      <w:lvlText w:val="(%1)"/>
      <w:numFmt w:val="lowerLetter"/>
      <w:start w:val="2"/>
    </w:lvl>
  </w:abstractNum>
  <w:abstractNum w:abstractNumId="28">
    <w:nsid w:val="6A2342EC"/>
    <w:multiLevelType w:val="hybridMultilevel"/>
    <w:lvl w:ilvl="0">
      <w:lvlJc w:val="left"/>
      <w:lvlText w:val="(%1)"/>
      <w:numFmt w:val="lowerLetter"/>
      <w:start w:val="3"/>
    </w:lvl>
  </w:abstractNum>
  <w:abstractNum w:abstractNumId="29">
    <w:nsid w:val="2A487CB0"/>
    <w:multiLevelType w:val="hybridMultilevel"/>
    <w:lvl w:ilvl="0">
      <w:lvlJc w:val="left"/>
      <w:lvlText w:val="(%1)"/>
      <w:numFmt w:val="lowerLetter"/>
      <w:start w:val="4"/>
    </w:lvl>
  </w:abstractNum>
  <w:abstractNum w:abstractNumId="30">
    <w:nsid w:val="1D4ED43B"/>
    <w:multiLevelType w:val="hybridMultilevel"/>
    <w:lvl w:ilvl="0">
      <w:lvlJc w:val="left"/>
      <w:lvlText w:val="(%1)"/>
      <w:numFmt w:val="lowerLetter"/>
      <w:start w:val="5"/>
    </w:lvl>
  </w:abstractNum>
  <w:abstractNum w:abstractNumId="31">
    <w:nsid w:val="725A06FB"/>
    <w:multiLevelType w:val="hybridMultilevel"/>
    <w:lvl w:ilvl="0">
      <w:lvlJc w:val="left"/>
      <w:lvlText w:val="(%1)"/>
      <w:numFmt w:val="lowerLetter"/>
      <w:start w:val="6"/>
    </w:lvl>
  </w:abstractNum>
  <w:abstractNum w:abstractNumId="32">
    <w:nsid w:val="2CD89A32"/>
    <w:multiLevelType w:val="hybridMultilevel"/>
    <w:lvl w:ilvl="0">
      <w:lvlJc w:val="left"/>
      <w:lvlText w:val="(%1)"/>
      <w:numFmt w:val="lowerLetter"/>
      <w:start w:val="7"/>
    </w:lvl>
  </w:abstractNum>
  <w:abstractNum w:abstractNumId="33">
    <w:nsid w:val="57E4CCAF"/>
    <w:multiLevelType w:val="hybridMultilevel"/>
    <w:lvl w:ilvl="0">
      <w:lvlJc w:val="left"/>
      <w:lvlText w:val="(%1)"/>
      <w:numFmt w:val="lowerLetter"/>
      <w:start w:val="8"/>
    </w:lvl>
  </w:abstractNum>
  <w:abstractNum w:abstractNumId="34">
    <w:nsid w:val="7A6D8D3C"/>
    <w:multiLevelType w:val="hybridMultilevel"/>
    <w:lvl w:ilvl="0">
      <w:lvlJc w:val="left"/>
      <w:lvlText w:val="(%1)"/>
      <w:numFmt w:val="lowerRoman"/>
      <w:start w:val="1"/>
    </w:lvl>
  </w:abstractNum>
  <w:abstractNum w:abstractNumId="35">
    <w:nsid w:val="4B588F54"/>
    <w:multiLevelType w:val="hybridMultilevel"/>
    <w:lvl w:ilvl="0">
      <w:lvlJc w:val="left"/>
      <w:lvlText w:val="(%1)"/>
      <w:numFmt w:val="lowerLetter"/>
      <w:start w:val="10"/>
    </w:lvl>
  </w:abstractNum>
  <w:abstractNum w:abstractNumId="36">
    <w:nsid w:val="542289EC"/>
    <w:multiLevelType w:val="hybridMultilevel"/>
    <w:lvl w:ilvl="0">
      <w:lvlJc w:val="left"/>
      <w:lvlText w:val="(%1)"/>
      <w:numFmt w:val="lowerLetter"/>
      <w:start w:val="11"/>
    </w:lvl>
  </w:abstractNum>
  <w:abstractNum w:abstractNumId="37">
    <w:nsid w:val="6DE91B18"/>
    <w:multiLevelType w:val="hybridMultilevel"/>
    <w:lvl w:ilvl="0">
      <w:lvlJc w:val="left"/>
      <w:lvlText w:val="(%1)"/>
      <w:numFmt w:val="lowerLetter"/>
      <w:start w:val="12"/>
    </w:lvl>
  </w:abstractNum>
  <w:abstractNum w:abstractNumId="38">
    <w:nsid w:val="38437FDB"/>
    <w:multiLevelType w:val="hybridMultilevel"/>
    <w:lvl w:ilvl="0">
      <w:lvlJc w:val="left"/>
      <w:lvlText w:val="(%1)"/>
      <w:numFmt w:val="lowerLetter"/>
      <w:start w:val="13"/>
    </w:lvl>
  </w:abstractNum>
  <w:abstractNum w:abstractNumId="39">
    <w:nsid w:val="7644A45C"/>
    <w:multiLevelType w:val="hybridMultilevel"/>
    <w:lvl w:ilvl="0">
      <w:lvlJc w:val="left"/>
      <w:lvlText w:val="(%1)"/>
      <w:numFmt w:val="lowerLetter"/>
      <w:start w:val="14"/>
    </w:lvl>
  </w:abstractNum>
  <w:abstractNum w:abstractNumId="40">
    <w:nsid w:val="32FFF902"/>
    <w:multiLevelType w:val="hybridMultilevel"/>
    <w:lvl w:ilvl="0">
      <w:lvlJc w:val="left"/>
      <w:lvlText w:val="(%1)"/>
      <w:numFmt w:val="lowerLetter"/>
      <w:start w:val="15"/>
    </w:lvl>
  </w:abstractNum>
  <w:abstractNum w:abstractNumId="41">
    <w:nsid w:val="684A481A"/>
    <w:multiLevelType w:val="hybridMultilevel"/>
    <w:lvl w:ilvl="0">
      <w:lvlJc w:val="left"/>
      <w:lvlText w:val="(%1)"/>
      <w:numFmt w:val="lowerLetter"/>
      <w:start w:val="16"/>
    </w:lvl>
  </w:abstractNum>
  <w:abstractNum w:abstractNumId="42">
    <w:nsid w:val="579478FE"/>
    <w:multiLevelType w:val="hybridMultilevel"/>
    <w:lvl w:ilvl="0">
      <w:lvlJc w:val="left"/>
      <w:lvlText w:val="(%1)"/>
      <w:numFmt w:val="lowerLetter"/>
      <w:start w:val="17"/>
    </w:lvl>
  </w:abstractNum>
  <w:abstractNum w:abstractNumId="43">
    <w:nsid w:val="749ABB43"/>
    <w:multiLevelType w:val="hybridMultilevel"/>
    <w:lvl w:ilvl="0">
      <w:lvlJc w:val="left"/>
      <w:lvlText w:val="(%1)"/>
      <w:numFmt w:val="lowerLetter"/>
      <w:start w:val="18"/>
    </w:lvl>
  </w:abstractNum>
  <w:abstractNum w:abstractNumId="44">
    <w:nsid w:val="3DC240FB"/>
    <w:multiLevelType w:val="hybridMultilevel"/>
    <w:lvl w:ilvl="0">
      <w:lvlJc w:val="left"/>
      <w:lvlText w:val="(%1)"/>
      <w:numFmt w:val="lowerLetter"/>
      <w:start w:val="19"/>
    </w:lvl>
  </w:abstractNum>
  <w:abstractNum w:abstractNumId="45">
    <w:nsid w:val="1BA026FA"/>
    <w:multiLevelType w:val="hybridMultilevel"/>
    <w:lvl w:ilvl="0">
      <w:lvlJc w:val="left"/>
      <w:lvlText w:val="(%1)"/>
      <w:numFmt w:val="lowerLetter"/>
      <w:start w:val="20"/>
    </w:lvl>
  </w:abstractNum>
  <w:abstractNum w:abstractNumId="46">
    <w:nsid w:val="79A1DEAA"/>
    <w:multiLevelType w:val="hybridMultilevel"/>
    <w:lvl w:ilvl="0">
      <w:lvlJc w:val="left"/>
      <w:lvlText w:val="(%1)"/>
      <w:numFmt w:val="lowerLetter"/>
      <w:start w:val="21"/>
    </w:lvl>
  </w:abstractNum>
  <w:abstractNum w:abstractNumId="47">
    <w:nsid w:val="75C6C33A"/>
    <w:multiLevelType w:val="hybridMultilevel"/>
    <w:lvl w:ilvl="0">
      <w:lvlJc w:val="left"/>
      <w:lvlText w:val="(%1)"/>
      <w:numFmt w:val="decimal"/>
      <w:start w:val="3"/>
    </w:lvl>
  </w:abstractNum>
  <w:abstractNum w:abstractNumId="48">
    <w:nsid w:val="12E685FB"/>
    <w:multiLevelType w:val="hybridMultilevel"/>
    <w:lvl w:ilvl="0">
      <w:lvlJc w:val="left"/>
      <w:lvlText w:val="(%1)"/>
      <w:numFmt w:val="decimal"/>
      <w:start w:val="4"/>
    </w:lvl>
  </w:abstractNum>
  <w:abstractNum w:abstractNumId="49">
    <w:nsid w:val="70C6A529"/>
    <w:multiLevelType w:val="hybridMultilevel"/>
    <w:lvl w:ilvl="0">
      <w:lvlJc w:val="left"/>
      <w:lvlText w:val="(%1)"/>
      <w:numFmt w:val="decimal"/>
      <w:start w:val="5"/>
    </w:lvl>
  </w:abstractNum>
  <w:abstractNum w:abstractNumId="50">
    <w:nsid w:val="520EEDD1"/>
    <w:multiLevelType w:val="hybridMultilevel"/>
    <w:lvl w:ilvl="0">
      <w:lvlJc w:val="left"/>
      <w:lvlText w:val="(%1)"/>
      <w:numFmt w:val="decimal"/>
      <w:start w:val="6"/>
    </w:lvl>
  </w:abstractNum>
  <w:abstractNum w:abstractNumId="51">
    <w:nsid w:val="374A3FE6"/>
    <w:multiLevelType w:val="hybridMultilevel"/>
    <w:lvl w:ilvl="0">
      <w:lvlJc w:val="left"/>
      <w:lvlText w:val="(%1)"/>
      <w:numFmt w:val="decimal"/>
      <w:start w:val="7"/>
    </w:lvl>
  </w:abstractNum>
  <w:abstractNum w:abstractNumId="52">
    <w:nsid w:val="4F4EF005"/>
    <w:multiLevelType w:val="hybridMultilevel"/>
    <w:lvl w:ilvl="0">
      <w:lvlJc w:val="left"/>
      <w:lvlText w:val="(%1)"/>
      <w:numFmt w:val="decimal"/>
      <w:start w:val="8"/>
    </w:lvl>
  </w:abstractNum>
  <w:abstractNum w:abstractNumId="53">
    <w:nsid w:val="23F9C13C"/>
    <w:multiLevelType w:val="hybridMultilevel"/>
    <w:lvl w:ilvl="0">
      <w:lvlJc w:val="left"/>
      <w:lvlText w:val="(%1)"/>
      <w:numFmt w:val="decimal"/>
      <w:start w:val="9"/>
    </w:lvl>
  </w:abstractNum>
  <w:abstractNum w:abstractNumId="54">
    <w:nsid w:val="649BB77C"/>
    <w:multiLevelType w:val="hybridMultilevel"/>
    <w:lvl w:ilvl="0">
      <w:lvlJc w:val="left"/>
      <w:lvlText w:val="(%1)"/>
      <w:numFmt w:val="decimal"/>
      <w:start w:val="12"/>
    </w:lvl>
    <w:lvl w:ilvl="1">
      <w:lvlJc w:val="left"/>
      <w:lvlText w:val="(%2)"/>
      <w:numFmt w:val="lowerLetter"/>
      <w:start w:val="1"/>
    </w:lvl>
  </w:abstractNum>
  <w:abstractNum w:abstractNumId="55">
    <w:nsid w:val="275AC79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2026-04-30T15:42:03Z</dcterms:created>
  <dcterms:modified xsi:type="dcterms:W3CDTF">2026-04-30T15:42:03Z</dcterms:modified>
</cp:coreProperties>
</file>